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D3C6" w14:textId="32B72354" w:rsidR="00694527" w:rsidRDefault="00694527" w:rsidP="00671F2D">
      <w:pPr>
        <w:spacing w:line="276" w:lineRule="auto"/>
        <w:jc w:val="center"/>
        <w:rPr>
          <w:b/>
          <w:bCs/>
          <w:sz w:val="24"/>
          <w:szCs w:val="24"/>
        </w:rPr>
      </w:pPr>
      <w:r>
        <w:rPr>
          <w:noProof/>
        </w:rPr>
        <w:drawing>
          <wp:inline distT="0" distB="0" distL="0" distR="0" wp14:anchorId="36D32389" wp14:editId="5D070653">
            <wp:extent cx="1223010" cy="278233"/>
            <wp:effectExtent l="0" t="0" r="0" b="7620"/>
            <wp:docPr id="1817376165" name="Obraz 1" descr="Obraz zawierający Czcionka, Jaskrawoniebieski, symbol,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76165" name="Obraz 1" descr="Obraz zawierający Czcionka, Jaskrawoniebieski, symbol, logo&#10;&#10;Zawartość wygenerowana przez AI może być niepoprawna."/>
                    <pic:cNvPicPr/>
                  </pic:nvPicPr>
                  <pic:blipFill>
                    <a:blip r:embed="rId7"/>
                    <a:stretch>
                      <a:fillRect/>
                    </a:stretch>
                  </pic:blipFill>
                  <pic:spPr>
                    <a:xfrm>
                      <a:off x="0" y="0"/>
                      <a:ext cx="1241267" cy="282387"/>
                    </a:xfrm>
                    <a:prstGeom prst="rect">
                      <a:avLst/>
                    </a:prstGeom>
                  </pic:spPr>
                </pic:pic>
              </a:graphicData>
            </a:graphic>
          </wp:inline>
        </w:drawing>
      </w:r>
    </w:p>
    <w:p w14:paraId="6BBE33F3" w14:textId="6003C863" w:rsidR="00D16648" w:rsidRPr="00694527" w:rsidRDefault="00671F2D" w:rsidP="00671F2D">
      <w:pPr>
        <w:spacing w:line="276" w:lineRule="auto"/>
        <w:jc w:val="center"/>
        <w:rPr>
          <w:b/>
          <w:bCs/>
          <w:sz w:val="24"/>
          <w:szCs w:val="24"/>
          <w:lang w:val="en-GB"/>
        </w:rPr>
      </w:pPr>
      <w:r w:rsidRPr="00694527">
        <w:rPr>
          <w:b/>
          <w:bCs/>
          <w:sz w:val="24"/>
          <w:szCs w:val="24"/>
          <w:lang w:val="en-GB"/>
        </w:rPr>
        <w:t xml:space="preserve">RULES FOR </w:t>
      </w:r>
      <w:r w:rsidR="00694527">
        <w:rPr>
          <w:b/>
          <w:bCs/>
          <w:sz w:val="24"/>
          <w:szCs w:val="24"/>
          <w:lang w:val="en-GB"/>
        </w:rPr>
        <w:t>DOCTORAL CANDIDATES</w:t>
      </w:r>
      <w:r w:rsidRPr="00694527">
        <w:rPr>
          <w:b/>
          <w:bCs/>
          <w:sz w:val="24"/>
          <w:szCs w:val="24"/>
          <w:lang w:val="en-GB"/>
        </w:rPr>
        <w:t xml:space="preserve"> OF THE JOINT DOCTORAL SCHOOL </w:t>
      </w:r>
      <w:r w:rsidR="00694527">
        <w:rPr>
          <w:b/>
          <w:bCs/>
          <w:sz w:val="24"/>
          <w:szCs w:val="24"/>
          <w:lang w:val="en-GB"/>
        </w:rPr>
        <w:t>MOBILITY</w:t>
      </w:r>
      <w:r w:rsidR="001A48FB" w:rsidRPr="00694527">
        <w:rPr>
          <w:b/>
          <w:bCs/>
          <w:sz w:val="24"/>
          <w:szCs w:val="24"/>
          <w:lang w:val="en-GB"/>
        </w:rPr>
        <w:br/>
      </w:r>
      <w:r w:rsidRPr="00694527">
        <w:rPr>
          <w:b/>
          <w:bCs/>
          <w:sz w:val="24"/>
          <w:szCs w:val="24"/>
          <w:lang w:val="en-GB"/>
        </w:rPr>
        <w:t xml:space="preserve">UNDER THE ERASMUS+ PROGRAMME </w:t>
      </w:r>
      <w:r w:rsidR="00E10AFA" w:rsidRPr="00694527">
        <w:rPr>
          <w:b/>
          <w:bCs/>
          <w:sz w:val="24"/>
          <w:szCs w:val="24"/>
          <w:lang w:val="en-GB"/>
        </w:rPr>
        <w:t xml:space="preserve">IN </w:t>
      </w:r>
      <w:r w:rsidR="00694527">
        <w:rPr>
          <w:b/>
          <w:bCs/>
          <w:sz w:val="24"/>
          <w:szCs w:val="24"/>
          <w:lang w:val="en-GB"/>
        </w:rPr>
        <w:t xml:space="preserve">YEAR </w:t>
      </w:r>
      <w:r w:rsidR="00E10AFA" w:rsidRPr="00694527">
        <w:rPr>
          <w:b/>
          <w:bCs/>
          <w:sz w:val="24"/>
          <w:szCs w:val="24"/>
          <w:lang w:val="en-GB"/>
        </w:rPr>
        <w:t>2026</w:t>
      </w:r>
    </w:p>
    <w:p w14:paraId="47721B16" w14:textId="1ECC58D2" w:rsidR="00785BE4" w:rsidRPr="00D476E8" w:rsidRDefault="00694527" w:rsidP="00D476E8">
      <w:pPr>
        <w:pStyle w:val="Akapitzlist"/>
        <w:numPr>
          <w:ilvl w:val="0"/>
          <w:numId w:val="1"/>
        </w:numPr>
        <w:spacing w:line="276" w:lineRule="auto"/>
        <w:ind w:left="426" w:right="-142" w:hanging="426"/>
        <w:jc w:val="both"/>
        <w:rPr>
          <w:lang w:val="en-GB"/>
        </w:rPr>
      </w:pPr>
      <w:r w:rsidRPr="00D476E8">
        <w:rPr>
          <w:lang w:val="en-GB"/>
        </w:rPr>
        <w:t>PhD Candidates</w:t>
      </w:r>
      <w:r w:rsidR="00F2680D" w:rsidRPr="00D476E8">
        <w:rPr>
          <w:lang w:val="en-GB"/>
        </w:rPr>
        <w:t xml:space="preserve"> </w:t>
      </w:r>
      <w:r w:rsidR="009F7538" w:rsidRPr="00D476E8">
        <w:rPr>
          <w:lang w:val="en-GB"/>
        </w:rPr>
        <w:t xml:space="preserve">enrolled </w:t>
      </w:r>
      <w:r w:rsidR="00B969E9" w:rsidRPr="00D476E8">
        <w:rPr>
          <w:lang w:val="en-GB"/>
        </w:rPr>
        <w:t xml:space="preserve">in </w:t>
      </w:r>
      <w:r w:rsidR="00924D65" w:rsidRPr="00D476E8">
        <w:rPr>
          <w:lang w:val="en-GB"/>
        </w:rPr>
        <w:t xml:space="preserve">the </w:t>
      </w:r>
      <w:r w:rsidR="00B969E9" w:rsidRPr="00D476E8">
        <w:rPr>
          <w:lang w:val="en-GB"/>
        </w:rPr>
        <w:t>Joint Doctoral</w:t>
      </w:r>
      <w:r w:rsidR="00924D65" w:rsidRPr="00D476E8">
        <w:rPr>
          <w:lang w:val="en-GB"/>
        </w:rPr>
        <w:t xml:space="preserve"> School </w:t>
      </w:r>
      <w:r w:rsidR="00F2680D" w:rsidRPr="00D476E8">
        <w:rPr>
          <w:lang w:val="en-GB"/>
        </w:rPr>
        <w:t xml:space="preserve">may apply for </w:t>
      </w:r>
      <w:r w:rsidRPr="00D476E8">
        <w:rPr>
          <w:lang w:val="en-GB"/>
        </w:rPr>
        <w:t xml:space="preserve">internship mobility </w:t>
      </w:r>
      <w:r w:rsidR="00DB1F42" w:rsidRPr="00D476E8">
        <w:rPr>
          <w:lang w:val="en-GB"/>
        </w:rPr>
        <w:t>under the Erasmus+ programme</w:t>
      </w:r>
      <w:r w:rsidR="00F7434D" w:rsidRPr="00D476E8">
        <w:rPr>
          <w:lang w:val="en-GB"/>
        </w:rPr>
        <w:t>.</w:t>
      </w:r>
    </w:p>
    <w:p w14:paraId="3993B04C" w14:textId="44EE452B" w:rsidR="00F10FA4" w:rsidRPr="00D476E8" w:rsidRDefault="00694527" w:rsidP="00D476E8">
      <w:pPr>
        <w:pStyle w:val="Akapitzlist"/>
        <w:numPr>
          <w:ilvl w:val="0"/>
          <w:numId w:val="1"/>
        </w:numPr>
        <w:spacing w:line="276" w:lineRule="auto"/>
        <w:ind w:left="426" w:right="-142" w:hanging="426"/>
        <w:jc w:val="both"/>
        <w:rPr>
          <w:lang w:val="en-GB"/>
        </w:rPr>
      </w:pPr>
      <w:r w:rsidRPr="00D476E8">
        <w:rPr>
          <w:lang w:val="en-GB"/>
        </w:rPr>
        <w:t>PhD Candidates prepare</w:t>
      </w:r>
      <w:r w:rsidR="00336A94" w:rsidRPr="00D476E8">
        <w:rPr>
          <w:lang w:val="en-GB"/>
        </w:rPr>
        <w:t xml:space="preserve"> </w:t>
      </w:r>
      <w:r w:rsidR="00866E8C" w:rsidRPr="00D476E8">
        <w:rPr>
          <w:lang w:val="en-GB"/>
        </w:rPr>
        <w:t xml:space="preserve">a </w:t>
      </w:r>
      <w:r w:rsidR="00336A94" w:rsidRPr="00D476E8">
        <w:rPr>
          <w:lang w:val="en-GB"/>
        </w:rPr>
        <w:t xml:space="preserve">Learning Agreement </w:t>
      </w:r>
      <w:r w:rsidR="00BB36ED" w:rsidRPr="00D476E8">
        <w:rPr>
          <w:lang w:val="en-GB"/>
        </w:rPr>
        <w:t xml:space="preserve">for Traineeships </w:t>
      </w:r>
      <w:r w:rsidR="00866E8C" w:rsidRPr="00D476E8">
        <w:rPr>
          <w:lang w:val="en-GB"/>
        </w:rPr>
        <w:t>(</w:t>
      </w:r>
      <w:r w:rsidR="00336A94" w:rsidRPr="00D476E8">
        <w:rPr>
          <w:lang w:val="en-GB"/>
        </w:rPr>
        <w:t xml:space="preserve">LA) under the supervision of their academic supervisor. </w:t>
      </w:r>
    </w:p>
    <w:p w14:paraId="5BD733DF" w14:textId="10CD41A5" w:rsidR="00B914BE" w:rsidRPr="00D476E8" w:rsidRDefault="009F7538" w:rsidP="00D476E8">
      <w:pPr>
        <w:pStyle w:val="Akapitzlist"/>
        <w:numPr>
          <w:ilvl w:val="0"/>
          <w:numId w:val="1"/>
        </w:numPr>
        <w:spacing w:line="276" w:lineRule="auto"/>
        <w:ind w:left="426" w:right="-142" w:hanging="426"/>
        <w:jc w:val="both"/>
        <w:rPr>
          <w:lang w:val="en-GB"/>
        </w:rPr>
      </w:pPr>
      <w:r w:rsidRPr="00D476E8">
        <w:rPr>
          <w:lang w:val="en-GB"/>
        </w:rPr>
        <w:t xml:space="preserve">Recruitment for </w:t>
      </w:r>
      <w:r w:rsidR="00694527" w:rsidRPr="00D476E8">
        <w:rPr>
          <w:lang w:val="en-GB"/>
        </w:rPr>
        <w:t>PhD Candidates’ p</w:t>
      </w:r>
      <w:r w:rsidRPr="00D476E8">
        <w:rPr>
          <w:lang w:val="en-GB"/>
        </w:rPr>
        <w:t>articipat</w:t>
      </w:r>
      <w:r w:rsidR="00694527" w:rsidRPr="00D476E8">
        <w:rPr>
          <w:lang w:val="en-GB"/>
        </w:rPr>
        <w:t>ion</w:t>
      </w:r>
      <w:r w:rsidRPr="00D476E8">
        <w:rPr>
          <w:lang w:val="en-GB"/>
        </w:rPr>
        <w:t xml:space="preserve"> in the Erasmus+ programme </w:t>
      </w:r>
      <w:r w:rsidR="00694527" w:rsidRPr="00D476E8">
        <w:rPr>
          <w:lang w:val="en-GB"/>
        </w:rPr>
        <w:t xml:space="preserve">mobility </w:t>
      </w:r>
      <w:r w:rsidRPr="00D476E8">
        <w:rPr>
          <w:lang w:val="en-GB"/>
        </w:rPr>
        <w:t xml:space="preserve">takes place </w:t>
      </w:r>
      <w:r w:rsidR="00B914BE" w:rsidRPr="00D476E8">
        <w:rPr>
          <w:lang w:val="en-GB"/>
        </w:rPr>
        <w:t xml:space="preserve">at the </w:t>
      </w:r>
      <w:r w:rsidR="00694527" w:rsidRPr="00D476E8">
        <w:rPr>
          <w:lang w:val="en-GB"/>
        </w:rPr>
        <w:t xml:space="preserve">Joint </w:t>
      </w:r>
      <w:r w:rsidR="00B914BE" w:rsidRPr="00D476E8">
        <w:rPr>
          <w:lang w:val="en-GB"/>
        </w:rPr>
        <w:t xml:space="preserve">Doctoral School </w:t>
      </w:r>
      <w:r w:rsidR="00B969E9" w:rsidRPr="00D476E8">
        <w:rPr>
          <w:u w:val="single"/>
          <w:lang w:val="en-GB"/>
        </w:rPr>
        <w:t>twice a year</w:t>
      </w:r>
      <w:r w:rsidR="00B914BE" w:rsidRPr="00D476E8">
        <w:rPr>
          <w:lang w:val="en-GB"/>
        </w:rPr>
        <w:t>:</w:t>
      </w:r>
    </w:p>
    <w:p w14:paraId="67953A16" w14:textId="5C9AC8B2" w:rsidR="00B914BE" w:rsidRPr="00D476E8" w:rsidRDefault="00FE291C" w:rsidP="00D476E8">
      <w:pPr>
        <w:pStyle w:val="Akapitzlist"/>
        <w:numPr>
          <w:ilvl w:val="0"/>
          <w:numId w:val="3"/>
        </w:numPr>
        <w:spacing w:line="276" w:lineRule="auto"/>
        <w:ind w:right="-142"/>
        <w:jc w:val="both"/>
        <w:rPr>
          <w:lang w:val="en-GB"/>
        </w:rPr>
      </w:pPr>
      <w:r w:rsidRPr="00D476E8">
        <w:rPr>
          <w:b/>
          <w:bCs/>
          <w:lang w:val="en-GB"/>
        </w:rPr>
        <w:t xml:space="preserve">spring recruitment </w:t>
      </w:r>
      <w:r w:rsidRPr="00D476E8">
        <w:rPr>
          <w:lang w:val="en-GB"/>
        </w:rPr>
        <w:t>– March</w:t>
      </w:r>
      <w:r w:rsidR="00B914BE" w:rsidRPr="00D476E8">
        <w:rPr>
          <w:lang w:val="en-GB"/>
        </w:rPr>
        <w:t xml:space="preserve">, </w:t>
      </w:r>
      <w:r w:rsidR="00B914BE" w:rsidRPr="00D476E8">
        <w:rPr>
          <w:u w:val="single"/>
          <w:lang w:val="en-GB"/>
        </w:rPr>
        <w:t xml:space="preserve">complete applications must be submitted </w:t>
      </w:r>
      <w:r w:rsidR="00B914BE" w:rsidRPr="00D476E8">
        <w:rPr>
          <w:b/>
          <w:bCs/>
          <w:u w:val="single"/>
          <w:lang w:val="en-GB"/>
        </w:rPr>
        <w:t xml:space="preserve">by 27/02/2026 </w:t>
      </w:r>
      <w:r w:rsidR="00B914BE" w:rsidRPr="00D476E8">
        <w:rPr>
          <w:u w:val="single"/>
          <w:lang w:val="en-GB"/>
        </w:rPr>
        <w:t>at the latest</w:t>
      </w:r>
    </w:p>
    <w:p w14:paraId="0ED08589" w14:textId="23D331F4" w:rsidR="00BB36ED" w:rsidRPr="00D476E8" w:rsidRDefault="00FE291C" w:rsidP="00D476E8">
      <w:pPr>
        <w:pStyle w:val="Akapitzlist"/>
        <w:numPr>
          <w:ilvl w:val="0"/>
          <w:numId w:val="3"/>
        </w:numPr>
        <w:spacing w:line="276" w:lineRule="auto"/>
        <w:ind w:right="-142"/>
        <w:jc w:val="both"/>
        <w:rPr>
          <w:lang w:val="en-GB"/>
        </w:rPr>
      </w:pPr>
      <w:r w:rsidRPr="00D476E8">
        <w:rPr>
          <w:b/>
          <w:bCs/>
          <w:lang w:val="en-GB"/>
        </w:rPr>
        <w:t xml:space="preserve">autumn recruitment </w:t>
      </w:r>
      <w:r w:rsidRPr="00D476E8">
        <w:rPr>
          <w:lang w:val="en-GB"/>
        </w:rPr>
        <w:t>– October</w:t>
      </w:r>
      <w:r w:rsidR="00B914BE" w:rsidRPr="00D476E8">
        <w:rPr>
          <w:lang w:val="en-GB"/>
        </w:rPr>
        <w:t xml:space="preserve">, </w:t>
      </w:r>
      <w:r w:rsidR="00B914BE" w:rsidRPr="00D476E8">
        <w:rPr>
          <w:u w:val="single"/>
          <w:lang w:val="en-GB"/>
        </w:rPr>
        <w:t xml:space="preserve">complete applications must be submitted </w:t>
      </w:r>
      <w:r w:rsidR="00B914BE" w:rsidRPr="00D476E8">
        <w:rPr>
          <w:b/>
          <w:bCs/>
          <w:u w:val="single"/>
          <w:lang w:val="en-GB"/>
        </w:rPr>
        <w:t xml:space="preserve">by 30/09/2026 </w:t>
      </w:r>
      <w:r w:rsidR="00B914BE" w:rsidRPr="00D476E8">
        <w:rPr>
          <w:u w:val="single"/>
          <w:lang w:val="en-GB"/>
        </w:rPr>
        <w:t>at the latest</w:t>
      </w:r>
      <w:r w:rsidR="00B914BE" w:rsidRPr="00D476E8">
        <w:rPr>
          <w:b/>
          <w:bCs/>
          <w:u w:val="single"/>
          <w:lang w:val="en-GB"/>
        </w:rPr>
        <w:t xml:space="preserve"> </w:t>
      </w:r>
    </w:p>
    <w:p w14:paraId="75588934" w14:textId="78DD1CE4" w:rsidR="00E10AFA" w:rsidRPr="00D476E8" w:rsidRDefault="003030FA" w:rsidP="00D476E8">
      <w:pPr>
        <w:pStyle w:val="Akapitzlist"/>
        <w:numPr>
          <w:ilvl w:val="0"/>
          <w:numId w:val="1"/>
        </w:numPr>
        <w:spacing w:line="276" w:lineRule="auto"/>
        <w:ind w:left="426" w:right="-142" w:hanging="426"/>
        <w:jc w:val="both"/>
        <w:rPr>
          <w:lang w:val="en-GB"/>
        </w:rPr>
      </w:pPr>
      <w:r w:rsidRPr="00D476E8">
        <w:rPr>
          <w:lang w:val="en-GB"/>
        </w:rPr>
        <w:t xml:space="preserve">PhD Candidates </w:t>
      </w:r>
      <w:r w:rsidR="00BB36ED" w:rsidRPr="00D476E8">
        <w:rPr>
          <w:lang w:val="en-GB"/>
        </w:rPr>
        <w:t>should submit the following application documents in electronic form to</w:t>
      </w:r>
      <w:r w:rsidRPr="00D476E8">
        <w:rPr>
          <w:lang w:val="en-GB"/>
        </w:rPr>
        <w:t xml:space="preserve"> </w:t>
      </w:r>
      <w:hyperlink r:id="rId8" w:history="1">
        <w:r w:rsidR="00C824F5" w:rsidRPr="00D476E8">
          <w:rPr>
            <w:rStyle w:val="Hipercze"/>
            <w:lang w:val="en-GB"/>
          </w:rPr>
          <w:t>SD-Erasmus@polsl.pl</w:t>
        </w:r>
      </w:hyperlink>
      <w:r w:rsidR="004964BD" w:rsidRPr="00D476E8">
        <w:rPr>
          <w:lang w:val="en-GB"/>
        </w:rPr>
        <w:t xml:space="preserve"> </w:t>
      </w:r>
      <w:r w:rsidR="00BB36ED" w:rsidRPr="00D476E8">
        <w:rPr>
          <w:lang w:val="en-GB"/>
        </w:rPr>
        <w:t>:</w:t>
      </w:r>
    </w:p>
    <w:p w14:paraId="3DCAFF96" w14:textId="77777777" w:rsidR="00E10AFA" w:rsidRPr="00D476E8" w:rsidRDefault="00BB36ED" w:rsidP="00D476E8">
      <w:pPr>
        <w:pStyle w:val="Akapitzlist"/>
        <w:numPr>
          <w:ilvl w:val="0"/>
          <w:numId w:val="2"/>
        </w:numPr>
        <w:spacing w:line="276" w:lineRule="auto"/>
        <w:ind w:right="-142"/>
        <w:jc w:val="both"/>
        <w:rPr>
          <w:lang w:val="en-GB"/>
        </w:rPr>
      </w:pPr>
      <w:r w:rsidRPr="00D476E8">
        <w:rPr>
          <w:lang w:val="en-GB"/>
        </w:rPr>
        <w:t>application for departure (PhD Student Application Form)</w:t>
      </w:r>
    </w:p>
    <w:p w14:paraId="5777C888" w14:textId="77777777" w:rsidR="00E10AFA" w:rsidRPr="00D476E8" w:rsidRDefault="00BB36ED" w:rsidP="00D476E8">
      <w:pPr>
        <w:pStyle w:val="Akapitzlist"/>
        <w:numPr>
          <w:ilvl w:val="0"/>
          <w:numId w:val="2"/>
        </w:numPr>
        <w:spacing w:line="276" w:lineRule="auto"/>
        <w:ind w:right="-142"/>
        <w:jc w:val="both"/>
        <w:rPr>
          <w:lang w:val="en-GB"/>
        </w:rPr>
      </w:pPr>
      <w:r w:rsidRPr="00D476E8">
        <w:rPr>
          <w:lang w:val="en-GB"/>
        </w:rPr>
        <w:t xml:space="preserve">agreement on the internship programme </w:t>
      </w:r>
      <w:r w:rsidRPr="00D476E8">
        <w:rPr>
          <w:u w:val="single"/>
          <w:lang w:val="en-GB"/>
        </w:rPr>
        <w:t xml:space="preserve">signed by the host institution </w:t>
      </w:r>
      <w:r w:rsidRPr="00D476E8">
        <w:rPr>
          <w:lang w:val="en-GB"/>
        </w:rPr>
        <w:t>(Learning Agreement for Traineeships)</w:t>
      </w:r>
    </w:p>
    <w:p w14:paraId="4BE0AC37" w14:textId="2954E68B" w:rsidR="00BB36ED" w:rsidRPr="00D476E8" w:rsidRDefault="00BB36ED" w:rsidP="00D476E8">
      <w:pPr>
        <w:pStyle w:val="Akapitzlist"/>
        <w:numPr>
          <w:ilvl w:val="0"/>
          <w:numId w:val="2"/>
        </w:numPr>
        <w:spacing w:line="276" w:lineRule="auto"/>
        <w:ind w:right="-142"/>
        <w:jc w:val="both"/>
      </w:pPr>
      <w:r w:rsidRPr="00D476E8">
        <w:t>supervisor's opinion</w:t>
      </w:r>
    </w:p>
    <w:p w14:paraId="6B670DD3" w14:textId="57355AC9" w:rsidR="00F96B65" w:rsidRPr="00D476E8" w:rsidRDefault="00C13B40" w:rsidP="00D476E8">
      <w:pPr>
        <w:pStyle w:val="Akapitzlist"/>
        <w:numPr>
          <w:ilvl w:val="0"/>
          <w:numId w:val="1"/>
        </w:numPr>
        <w:spacing w:line="276" w:lineRule="auto"/>
        <w:ind w:left="426" w:right="-142" w:hanging="426"/>
        <w:jc w:val="both"/>
        <w:rPr>
          <w:lang w:val="en-GB"/>
        </w:rPr>
      </w:pPr>
      <w:r w:rsidRPr="00D476E8">
        <w:rPr>
          <w:lang w:val="en-GB"/>
        </w:rPr>
        <w:t>Application documents are evaluated by the Qualification Committee</w:t>
      </w:r>
      <w:r w:rsidR="00F45CE1" w:rsidRPr="00D476E8">
        <w:rPr>
          <w:lang w:val="en-GB"/>
        </w:rPr>
        <w:t xml:space="preserve">. The Committee evaluates application documents in two stages: a formal evaluation verifies the completeness and timeliness of the documentation and the required confirmations, while a substantive evaluation covers the relationship between mobility and the individual research plan and the quality of the mobility plan. Candidates who obtain the minimum number of points are eligible to participate in the programme according to their ranking within the available limit of places in the spring and autumn recruitment rounds. </w:t>
      </w:r>
      <w:r w:rsidR="00482EF2" w:rsidRPr="00D476E8">
        <w:rPr>
          <w:lang w:val="en-GB"/>
        </w:rPr>
        <w:t xml:space="preserve">If the number of places increases, subsequent </w:t>
      </w:r>
      <w:r w:rsidR="00C824F5" w:rsidRPr="00D476E8">
        <w:rPr>
          <w:lang w:val="en-GB"/>
        </w:rPr>
        <w:t>candidates</w:t>
      </w:r>
      <w:r w:rsidR="00482EF2" w:rsidRPr="00D476E8">
        <w:rPr>
          <w:lang w:val="en-GB"/>
        </w:rPr>
        <w:t xml:space="preserve"> from the reserve list </w:t>
      </w:r>
      <w:r w:rsidR="00C824F5" w:rsidRPr="00D476E8">
        <w:rPr>
          <w:lang w:val="en-GB"/>
        </w:rPr>
        <w:t>will be</w:t>
      </w:r>
      <w:r w:rsidR="00482EF2" w:rsidRPr="00D476E8">
        <w:rPr>
          <w:lang w:val="en-GB"/>
        </w:rPr>
        <w:t xml:space="preserve"> eligible according to their ranking.</w:t>
      </w:r>
    </w:p>
    <w:p w14:paraId="6232CBEA" w14:textId="122AA70E" w:rsidR="00BB36ED" w:rsidRPr="00D476E8" w:rsidRDefault="00BB36ED" w:rsidP="00D476E8">
      <w:pPr>
        <w:pStyle w:val="Akapitzlist"/>
        <w:numPr>
          <w:ilvl w:val="0"/>
          <w:numId w:val="1"/>
        </w:numPr>
        <w:spacing w:line="276" w:lineRule="auto"/>
        <w:ind w:left="426" w:right="-142" w:hanging="426"/>
        <w:jc w:val="both"/>
        <w:rPr>
          <w:lang w:val="en-GB"/>
        </w:rPr>
      </w:pPr>
      <w:r w:rsidRPr="00D476E8">
        <w:rPr>
          <w:lang w:val="en-GB"/>
        </w:rPr>
        <w:t xml:space="preserve">Incomplete or incorrectly prepared application documentation is grounds for rejection of the application by the </w:t>
      </w:r>
      <w:r w:rsidR="00C824F5" w:rsidRPr="00D476E8">
        <w:rPr>
          <w:lang w:val="en-GB"/>
        </w:rPr>
        <w:t>Qualification</w:t>
      </w:r>
      <w:r w:rsidRPr="00D476E8">
        <w:rPr>
          <w:lang w:val="en-GB"/>
        </w:rPr>
        <w:t xml:space="preserve"> Committee without substantive evaluation.</w:t>
      </w:r>
    </w:p>
    <w:p w14:paraId="51C5C0B3" w14:textId="15808625" w:rsidR="00BB36ED" w:rsidRPr="00D476E8" w:rsidRDefault="00BB36ED" w:rsidP="00D476E8">
      <w:pPr>
        <w:pStyle w:val="Akapitzlist"/>
        <w:numPr>
          <w:ilvl w:val="0"/>
          <w:numId w:val="1"/>
        </w:numPr>
        <w:spacing w:line="276" w:lineRule="auto"/>
        <w:ind w:left="426" w:right="-142" w:hanging="426"/>
        <w:jc w:val="both"/>
        <w:rPr>
          <w:lang w:val="en-GB"/>
        </w:rPr>
      </w:pPr>
      <w:r w:rsidRPr="00D476E8">
        <w:rPr>
          <w:lang w:val="en-GB"/>
        </w:rPr>
        <w:t xml:space="preserve">Priority in receiving a grant for travel is given to </w:t>
      </w:r>
      <w:r w:rsidR="00C824F5" w:rsidRPr="00D476E8">
        <w:rPr>
          <w:lang w:val="en-GB"/>
        </w:rPr>
        <w:t xml:space="preserve">PhD Candidates </w:t>
      </w:r>
      <w:r w:rsidRPr="00D476E8">
        <w:rPr>
          <w:lang w:val="en-GB"/>
        </w:rPr>
        <w:t xml:space="preserve">who </w:t>
      </w:r>
      <w:r w:rsidR="00C824F5" w:rsidRPr="00D476E8">
        <w:rPr>
          <w:lang w:val="en-GB"/>
        </w:rPr>
        <w:t>did</w:t>
      </w:r>
      <w:r w:rsidRPr="00D476E8">
        <w:rPr>
          <w:lang w:val="en-GB"/>
        </w:rPr>
        <w:t xml:space="preserve"> not participate </w:t>
      </w:r>
      <w:r w:rsidR="00E10AFA" w:rsidRPr="00D476E8">
        <w:rPr>
          <w:lang w:val="en-GB"/>
        </w:rPr>
        <w:t xml:space="preserve">in </w:t>
      </w:r>
      <w:r w:rsidRPr="00D476E8">
        <w:rPr>
          <w:lang w:val="en-GB"/>
        </w:rPr>
        <w:t xml:space="preserve">the Erasmus+ </w:t>
      </w:r>
      <w:r w:rsidR="00E10AFA" w:rsidRPr="00D476E8">
        <w:rPr>
          <w:lang w:val="en-GB"/>
        </w:rPr>
        <w:t xml:space="preserve">mobility </w:t>
      </w:r>
      <w:r w:rsidRPr="00D476E8">
        <w:rPr>
          <w:lang w:val="en-GB"/>
        </w:rPr>
        <w:t xml:space="preserve">programme in the previous calendar year. </w:t>
      </w:r>
    </w:p>
    <w:p w14:paraId="220870DA" w14:textId="0CB66E57" w:rsidR="00F10FA4" w:rsidRPr="00D476E8" w:rsidRDefault="00C824F5" w:rsidP="00D476E8">
      <w:pPr>
        <w:pStyle w:val="Akapitzlist"/>
        <w:numPr>
          <w:ilvl w:val="0"/>
          <w:numId w:val="1"/>
        </w:numPr>
        <w:spacing w:line="276" w:lineRule="auto"/>
        <w:ind w:left="426" w:right="-142" w:hanging="426"/>
        <w:jc w:val="both"/>
        <w:rPr>
          <w:lang w:val="en-GB"/>
        </w:rPr>
      </w:pPr>
      <w:r w:rsidRPr="00D476E8">
        <w:rPr>
          <w:lang w:val="en-GB"/>
        </w:rPr>
        <w:t xml:space="preserve">PhD Candidates </w:t>
      </w:r>
      <w:r w:rsidR="00336A94" w:rsidRPr="00D476E8">
        <w:rPr>
          <w:lang w:val="en-GB"/>
        </w:rPr>
        <w:t xml:space="preserve">are required to settle their accounts related to their </w:t>
      </w:r>
      <w:r w:rsidRPr="00D476E8">
        <w:rPr>
          <w:lang w:val="en-GB"/>
        </w:rPr>
        <w:t xml:space="preserve">Erasmus </w:t>
      </w:r>
      <w:r w:rsidR="00777D02" w:rsidRPr="00D476E8">
        <w:rPr>
          <w:lang w:val="en-GB"/>
        </w:rPr>
        <w:t>internship</w:t>
      </w:r>
      <w:r w:rsidR="00336A94" w:rsidRPr="00D476E8">
        <w:rPr>
          <w:lang w:val="en-GB"/>
        </w:rPr>
        <w:t xml:space="preserve"> stay at </w:t>
      </w:r>
      <w:r w:rsidR="00FD5B2C" w:rsidRPr="00D476E8">
        <w:rPr>
          <w:lang w:val="en-GB"/>
        </w:rPr>
        <w:t xml:space="preserve">the International </w:t>
      </w:r>
      <w:r w:rsidRPr="00D476E8">
        <w:rPr>
          <w:lang w:val="en-GB"/>
        </w:rPr>
        <w:t>Mobility Office, the s</w:t>
      </w:r>
      <w:r w:rsidR="00FD5B2C" w:rsidRPr="00D476E8">
        <w:rPr>
          <w:lang w:val="en-GB"/>
        </w:rPr>
        <w:t xml:space="preserve">ection of the International </w:t>
      </w:r>
      <w:r w:rsidRPr="00D476E8">
        <w:rPr>
          <w:lang w:val="en-GB"/>
        </w:rPr>
        <w:t>Relations Office</w:t>
      </w:r>
      <w:r w:rsidR="00777D02" w:rsidRPr="00D476E8">
        <w:rPr>
          <w:lang w:val="en-GB"/>
        </w:rPr>
        <w:t xml:space="preserve">. </w:t>
      </w:r>
    </w:p>
    <w:p w14:paraId="3EECA657" w14:textId="4731F4DF" w:rsidR="00F10FA4" w:rsidRPr="00D476E8" w:rsidRDefault="00F2680D" w:rsidP="00D476E8">
      <w:pPr>
        <w:pStyle w:val="Akapitzlist"/>
        <w:numPr>
          <w:ilvl w:val="0"/>
          <w:numId w:val="1"/>
        </w:numPr>
        <w:spacing w:line="276" w:lineRule="auto"/>
        <w:ind w:left="426" w:right="-142" w:hanging="426"/>
        <w:jc w:val="both"/>
        <w:rPr>
          <w:lang w:val="en-GB"/>
        </w:rPr>
      </w:pPr>
      <w:r w:rsidRPr="00D476E8">
        <w:rPr>
          <w:lang w:val="en-GB"/>
        </w:rPr>
        <w:t xml:space="preserve">The scholarship awarded under the Erasmus+ programme is supplementary in nature and is intended to cover additional costs related to travel and stay at a </w:t>
      </w:r>
      <w:r w:rsidR="00FD5B2C" w:rsidRPr="00D476E8">
        <w:rPr>
          <w:lang w:val="en-GB"/>
        </w:rPr>
        <w:t>foreign</w:t>
      </w:r>
      <w:r w:rsidRPr="00D476E8">
        <w:rPr>
          <w:lang w:val="en-GB"/>
        </w:rPr>
        <w:t xml:space="preserve"> university.</w:t>
      </w:r>
      <w:r w:rsidR="00FD5B2C" w:rsidRPr="00D476E8">
        <w:rPr>
          <w:lang w:val="en-GB"/>
        </w:rPr>
        <w:t xml:space="preserve"> </w:t>
      </w:r>
      <w:r w:rsidRPr="00D476E8">
        <w:rPr>
          <w:lang w:val="en-GB"/>
        </w:rPr>
        <w:t xml:space="preserve">The scholarship is a lump sum, and its amount depends on the country of the host institution and the length of stay. Scholarship rates </w:t>
      </w:r>
      <w:r w:rsidR="00FD5B2C" w:rsidRPr="00D476E8">
        <w:rPr>
          <w:lang w:val="en-GB"/>
        </w:rPr>
        <w:t>are</w:t>
      </w:r>
      <w:r w:rsidRPr="00D476E8">
        <w:rPr>
          <w:lang w:val="en-GB"/>
        </w:rPr>
        <w:t xml:space="preserve"> available </w:t>
      </w:r>
      <w:r w:rsidR="00FD5B2C" w:rsidRPr="00D476E8">
        <w:rPr>
          <w:lang w:val="en-GB"/>
        </w:rPr>
        <w:t xml:space="preserve">on the website of the International </w:t>
      </w:r>
      <w:r w:rsidR="00C824F5" w:rsidRPr="00D476E8">
        <w:rPr>
          <w:lang w:val="en-GB"/>
        </w:rPr>
        <w:t xml:space="preserve">Mobility Office, the section of </w:t>
      </w:r>
      <w:r w:rsidR="00A85003" w:rsidRPr="00D476E8">
        <w:rPr>
          <w:lang w:val="en-GB"/>
        </w:rPr>
        <w:t>the International Relations Office</w:t>
      </w:r>
      <w:r w:rsidR="00FD5B2C" w:rsidRPr="00D476E8">
        <w:rPr>
          <w:lang w:val="en-GB"/>
        </w:rPr>
        <w:t>.</w:t>
      </w:r>
    </w:p>
    <w:p w14:paraId="413837CB" w14:textId="0BC637D9" w:rsidR="00F10FA4" w:rsidRPr="00D476E8" w:rsidRDefault="00F2680D" w:rsidP="00D476E8">
      <w:pPr>
        <w:pStyle w:val="Akapitzlist"/>
        <w:numPr>
          <w:ilvl w:val="0"/>
          <w:numId w:val="1"/>
        </w:numPr>
        <w:spacing w:line="276" w:lineRule="auto"/>
        <w:ind w:left="426" w:right="-142" w:hanging="426"/>
        <w:jc w:val="both"/>
        <w:rPr>
          <w:lang w:val="en-GB"/>
        </w:rPr>
      </w:pPr>
      <w:r w:rsidRPr="00D476E8">
        <w:rPr>
          <w:lang w:val="en-GB"/>
        </w:rPr>
        <w:t xml:space="preserve">The payment of national scholarships to which the </w:t>
      </w:r>
      <w:r w:rsidR="00C824F5" w:rsidRPr="00D476E8">
        <w:rPr>
          <w:lang w:val="en-GB"/>
        </w:rPr>
        <w:t xml:space="preserve">PhD Candidates </w:t>
      </w:r>
      <w:r w:rsidRPr="00D476E8">
        <w:rPr>
          <w:lang w:val="en-GB"/>
        </w:rPr>
        <w:t xml:space="preserve">became entitled before departure will continue during the </w:t>
      </w:r>
      <w:r w:rsidR="00C824F5" w:rsidRPr="00D476E8">
        <w:rPr>
          <w:lang w:val="en-GB"/>
        </w:rPr>
        <w:t>PhD Candidates</w:t>
      </w:r>
      <w:r w:rsidRPr="00D476E8">
        <w:rPr>
          <w:lang w:val="en-GB"/>
        </w:rPr>
        <w:t xml:space="preserve">'s stay at a </w:t>
      </w:r>
      <w:r w:rsidR="00FD5B2C" w:rsidRPr="00D476E8">
        <w:rPr>
          <w:lang w:val="en-GB"/>
        </w:rPr>
        <w:t>foreign</w:t>
      </w:r>
      <w:r w:rsidRPr="00D476E8">
        <w:rPr>
          <w:lang w:val="en-GB"/>
        </w:rPr>
        <w:t xml:space="preserve"> university.</w:t>
      </w:r>
    </w:p>
    <w:p w14:paraId="3942A428" w14:textId="64206F71" w:rsidR="00F10FA4" w:rsidRPr="00D476E8" w:rsidRDefault="00F2680D" w:rsidP="00D476E8">
      <w:pPr>
        <w:pStyle w:val="Akapitzlist"/>
        <w:numPr>
          <w:ilvl w:val="0"/>
          <w:numId w:val="1"/>
        </w:numPr>
        <w:spacing w:line="276" w:lineRule="auto"/>
        <w:ind w:left="426" w:right="-142" w:hanging="426"/>
        <w:jc w:val="both"/>
        <w:rPr>
          <w:lang w:val="en-GB"/>
        </w:rPr>
      </w:pPr>
      <w:r w:rsidRPr="00D476E8">
        <w:rPr>
          <w:lang w:val="en-GB"/>
        </w:rPr>
        <w:t xml:space="preserve">The </w:t>
      </w:r>
      <w:r w:rsidR="00A96BF6" w:rsidRPr="00D476E8">
        <w:rPr>
          <w:lang w:val="en-GB"/>
        </w:rPr>
        <w:t xml:space="preserve">Erasmus+ </w:t>
      </w:r>
      <w:r w:rsidRPr="00D476E8">
        <w:rPr>
          <w:lang w:val="en-GB"/>
        </w:rPr>
        <w:t xml:space="preserve">scholarship will be paid in two instalments: 90% and 10% (the first instalment after signing the agreement and the second after settling the trip) in the form of a transfer to the account provided by the </w:t>
      </w:r>
      <w:r w:rsidR="00C824F5" w:rsidRPr="00D476E8">
        <w:rPr>
          <w:lang w:val="en-GB"/>
        </w:rPr>
        <w:t>PhD Candidates</w:t>
      </w:r>
      <w:r w:rsidRPr="00D476E8">
        <w:rPr>
          <w:lang w:val="en-GB"/>
        </w:rPr>
        <w:t xml:space="preserve">. Scholarships from the Erasmus+ programme are paid in </w:t>
      </w:r>
      <w:r w:rsidR="00C824F5" w:rsidRPr="00D476E8">
        <w:rPr>
          <w:lang w:val="en-GB"/>
        </w:rPr>
        <w:t>EUR</w:t>
      </w:r>
      <w:r w:rsidRPr="00D476E8">
        <w:rPr>
          <w:lang w:val="en-GB"/>
        </w:rPr>
        <w:t xml:space="preserve"> </w:t>
      </w:r>
      <w:r w:rsidR="00A85003" w:rsidRPr="00D476E8">
        <w:rPr>
          <w:lang w:val="en-GB"/>
        </w:rPr>
        <w:t xml:space="preserve">by the International </w:t>
      </w:r>
      <w:r w:rsidR="00C824F5" w:rsidRPr="00D476E8">
        <w:rPr>
          <w:lang w:val="en-GB"/>
        </w:rPr>
        <w:t>Mobility Office</w:t>
      </w:r>
      <w:r w:rsidR="00FD5B2C" w:rsidRPr="00D476E8">
        <w:rPr>
          <w:lang w:val="en-GB"/>
        </w:rPr>
        <w:t>.</w:t>
      </w:r>
    </w:p>
    <w:p w14:paraId="15C085F1" w14:textId="2DA41A5B" w:rsidR="00F10FA4" w:rsidRPr="00D476E8" w:rsidRDefault="00E54FCA" w:rsidP="00D476E8">
      <w:pPr>
        <w:pStyle w:val="Akapitzlist"/>
        <w:numPr>
          <w:ilvl w:val="0"/>
          <w:numId w:val="1"/>
        </w:numPr>
        <w:spacing w:line="276" w:lineRule="auto"/>
        <w:ind w:left="426" w:right="-142" w:hanging="426"/>
        <w:jc w:val="both"/>
        <w:rPr>
          <w:lang w:val="en-GB"/>
        </w:rPr>
      </w:pPr>
      <w:r w:rsidRPr="00D476E8">
        <w:rPr>
          <w:lang w:val="en-GB"/>
        </w:rPr>
        <w:t>No later than</w:t>
      </w:r>
      <w:r w:rsidR="00F96B65" w:rsidRPr="00D476E8">
        <w:rPr>
          <w:lang w:val="en-GB"/>
        </w:rPr>
        <w:t xml:space="preserve"> 14 </w:t>
      </w:r>
      <w:r w:rsidRPr="00D476E8">
        <w:rPr>
          <w:lang w:val="en-GB"/>
        </w:rPr>
        <w:t>days after the end of their stay at the partner university</w:t>
      </w:r>
      <w:r w:rsidR="00A85003" w:rsidRPr="00D476E8">
        <w:rPr>
          <w:lang w:val="en-GB"/>
        </w:rPr>
        <w:t xml:space="preserve">, </w:t>
      </w:r>
      <w:r w:rsidR="006B43AC" w:rsidRPr="00D476E8">
        <w:rPr>
          <w:lang w:val="en-GB"/>
        </w:rPr>
        <w:t xml:space="preserve">PhD Candidates </w:t>
      </w:r>
      <w:r w:rsidRPr="00D476E8">
        <w:rPr>
          <w:lang w:val="en-GB"/>
        </w:rPr>
        <w:t xml:space="preserve">are required </w:t>
      </w:r>
      <w:r w:rsidR="00F96B65" w:rsidRPr="00D476E8">
        <w:rPr>
          <w:lang w:val="en-GB"/>
        </w:rPr>
        <w:t xml:space="preserve">to send </w:t>
      </w:r>
      <w:r w:rsidR="00F7434D" w:rsidRPr="00D476E8">
        <w:rPr>
          <w:lang w:val="en-GB"/>
        </w:rPr>
        <w:t xml:space="preserve">the </w:t>
      </w:r>
      <w:bookmarkStart w:id="0" w:name="_Hlk112230840"/>
      <w:r w:rsidR="00777D02" w:rsidRPr="00D476E8">
        <w:rPr>
          <w:lang w:val="en-GB"/>
        </w:rPr>
        <w:t>Learning Agreement for Traineeships</w:t>
      </w:r>
      <w:bookmarkEnd w:id="0"/>
      <w:r w:rsidR="005367BC" w:rsidRPr="00D476E8">
        <w:rPr>
          <w:lang w:val="en-GB"/>
        </w:rPr>
        <w:t xml:space="preserve"> - </w:t>
      </w:r>
      <w:r w:rsidR="00247A03" w:rsidRPr="00D476E8">
        <w:rPr>
          <w:lang w:val="en-GB"/>
        </w:rPr>
        <w:t xml:space="preserve">part </w:t>
      </w:r>
      <w:r w:rsidR="003C6637" w:rsidRPr="00D476E8">
        <w:rPr>
          <w:lang w:val="en-GB"/>
        </w:rPr>
        <w:t>after mobility</w:t>
      </w:r>
      <w:r w:rsidR="00777D02" w:rsidRPr="00D476E8">
        <w:rPr>
          <w:lang w:val="en-GB"/>
        </w:rPr>
        <w:t xml:space="preserve"> </w:t>
      </w:r>
      <w:r w:rsidR="00F96B65" w:rsidRPr="00D476E8">
        <w:rPr>
          <w:lang w:val="en-GB"/>
        </w:rPr>
        <w:t>signed by the host institution</w:t>
      </w:r>
      <w:r w:rsidR="006B43AC" w:rsidRPr="00D476E8">
        <w:rPr>
          <w:lang w:val="en-GB"/>
        </w:rPr>
        <w:t xml:space="preserve"> </w:t>
      </w:r>
      <w:r w:rsidR="004964BD" w:rsidRPr="00D476E8">
        <w:rPr>
          <w:lang w:val="en-GB"/>
        </w:rPr>
        <w:t>to</w:t>
      </w:r>
      <w:r w:rsidR="006B43AC" w:rsidRPr="00D476E8">
        <w:rPr>
          <w:lang w:val="en-GB"/>
        </w:rPr>
        <w:t xml:space="preserve"> </w:t>
      </w:r>
      <w:hyperlink r:id="rId9" w:history="1">
        <w:r w:rsidR="006B43AC" w:rsidRPr="00D476E8">
          <w:rPr>
            <w:rStyle w:val="Hipercze"/>
            <w:lang w:val="en-GB"/>
          </w:rPr>
          <w:t>SD-Erasmus@polsl.pl</w:t>
        </w:r>
      </w:hyperlink>
      <w:r w:rsidR="004964BD" w:rsidRPr="00D476E8">
        <w:rPr>
          <w:lang w:val="en-GB"/>
        </w:rPr>
        <w:t xml:space="preserve"> (with the subject line: after mobility) </w:t>
      </w:r>
      <w:r w:rsidR="00F7434D" w:rsidRPr="00D476E8">
        <w:rPr>
          <w:lang w:val="en-GB"/>
        </w:rPr>
        <w:t xml:space="preserve">and </w:t>
      </w:r>
      <w:r w:rsidR="004964BD" w:rsidRPr="00D476E8">
        <w:rPr>
          <w:lang w:val="en-GB"/>
        </w:rPr>
        <w:t xml:space="preserve">to </w:t>
      </w:r>
      <w:r w:rsidR="003C6637" w:rsidRPr="00D476E8">
        <w:rPr>
          <w:lang w:val="en-GB"/>
        </w:rPr>
        <w:t xml:space="preserve">the International </w:t>
      </w:r>
      <w:r w:rsidR="006B43AC" w:rsidRPr="00D476E8">
        <w:rPr>
          <w:lang w:val="en-GB"/>
        </w:rPr>
        <w:t>Mobility Office</w:t>
      </w:r>
      <w:r w:rsidR="00777D02" w:rsidRPr="00D476E8">
        <w:rPr>
          <w:lang w:val="en-GB"/>
        </w:rPr>
        <w:t>.</w:t>
      </w:r>
    </w:p>
    <w:p w14:paraId="496916D9" w14:textId="03EA81CD" w:rsidR="00F10FA4" w:rsidRPr="00D476E8" w:rsidRDefault="00E54FCA" w:rsidP="00D476E8">
      <w:pPr>
        <w:pStyle w:val="Akapitzlist"/>
        <w:numPr>
          <w:ilvl w:val="0"/>
          <w:numId w:val="1"/>
        </w:numPr>
        <w:spacing w:line="276" w:lineRule="auto"/>
        <w:ind w:left="426" w:right="-142" w:hanging="426"/>
        <w:jc w:val="both"/>
        <w:rPr>
          <w:lang w:val="en-GB"/>
        </w:rPr>
      </w:pPr>
      <w:r w:rsidRPr="00D476E8">
        <w:rPr>
          <w:lang w:val="en-GB"/>
        </w:rPr>
        <w:t xml:space="preserve">Once the above conditions have been met, the scholarship will be settled financially. Failure to meet the above conditions may constitute grounds for </w:t>
      </w:r>
      <w:r w:rsidR="00C81A9D" w:rsidRPr="00D476E8">
        <w:rPr>
          <w:lang w:val="en-GB"/>
        </w:rPr>
        <w:t xml:space="preserve">the </w:t>
      </w:r>
      <w:r w:rsidR="006B43AC" w:rsidRPr="00D476E8">
        <w:rPr>
          <w:lang w:val="en-GB"/>
        </w:rPr>
        <w:t>SUT</w:t>
      </w:r>
      <w:r w:rsidRPr="00D476E8">
        <w:rPr>
          <w:lang w:val="en-GB"/>
        </w:rPr>
        <w:t xml:space="preserve"> to demand the return of part or all of the scholarship received.</w:t>
      </w:r>
    </w:p>
    <w:p w14:paraId="19E611F9" w14:textId="40D5D70A" w:rsidR="00F10FA4" w:rsidRPr="00D476E8" w:rsidRDefault="00C81A9D" w:rsidP="00D476E8">
      <w:pPr>
        <w:pStyle w:val="Akapitzlist"/>
        <w:numPr>
          <w:ilvl w:val="0"/>
          <w:numId w:val="1"/>
        </w:numPr>
        <w:spacing w:line="276" w:lineRule="auto"/>
        <w:ind w:left="426" w:right="-142" w:hanging="426"/>
        <w:jc w:val="both"/>
        <w:rPr>
          <w:lang w:val="en-GB"/>
        </w:rPr>
      </w:pPr>
      <w:r w:rsidRPr="00D476E8">
        <w:rPr>
          <w:lang w:val="en-GB"/>
        </w:rPr>
        <w:t xml:space="preserve">The </w:t>
      </w:r>
      <w:r w:rsidR="006B43AC" w:rsidRPr="00D476E8">
        <w:rPr>
          <w:lang w:val="en-GB"/>
        </w:rPr>
        <w:t>SUT</w:t>
      </w:r>
      <w:r w:rsidRPr="00D476E8">
        <w:rPr>
          <w:lang w:val="en-GB"/>
        </w:rPr>
        <w:t xml:space="preserve"> </w:t>
      </w:r>
      <w:r w:rsidR="00E54FCA" w:rsidRPr="00D476E8">
        <w:rPr>
          <w:lang w:val="en-GB"/>
        </w:rPr>
        <w:t xml:space="preserve">does not provide insurance or accommodation for the duration of the stay at the </w:t>
      </w:r>
      <w:r w:rsidR="00F10FA4" w:rsidRPr="00D476E8">
        <w:rPr>
          <w:lang w:val="en-GB"/>
        </w:rPr>
        <w:t>host</w:t>
      </w:r>
      <w:r w:rsidR="00E54FCA" w:rsidRPr="00D476E8">
        <w:rPr>
          <w:lang w:val="en-GB"/>
        </w:rPr>
        <w:t xml:space="preserve"> university</w:t>
      </w:r>
      <w:r w:rsidR="00F10FA4" w:rsidRPr="00D476E8">
        <w:rPr>
          <w:lang w:val="en-GB"/>
        </w:rPr>
        <w:t>.</w:t>
      </w:r>
    </w:p>
    <w:p w14:paraId="601F83B4" w14:textId="516273DD" w:rsidR="00E54FCA" w:rsidRPr="00D476E8" w:rsidRDefault="00E54FCA" w:rsidP="00D476E8">
      <w:pPr>
        <w:pStyle w:val="Akapitzlist"/>
        <w:numPr>
          <w:ilvl w:val="0"/>
          <w:numId w:val="1"/>
        </w:numPr>
        <w:spacing w:line="276" w:lineRule="auto"/>
        <w:ind w:left="426" w:right="-142" w:hanging="426"/>
        <w:jc w:val="both"/>
        <w:rPr>
          <w:lang w:val="en-GB"/>
        </w:rPr>
      </w:pPr>
      <w:r w:rsidRPr="00D476E8">
        <w:rPr>
          <w:lang w:val="en-GB"/>
        </w:rPr>
        <w:t>If the scholarship is paid and the trip is not completed</w:t>
      </w:r>
      <w:r w:rsidR="007F1E03" w:rsidRPr="00D476E8">
        <w:rPr>
          <w:lang w:val="en-GB"/>
        </w:rPr>
        <w:t xml:space="preserve">, </w:t>
      </w:r>
      <w:r w:rsidRPr="00D476E8">
        <w:rPr>
          <w:lang w:val="en-GB"/>
        </w:rPr>
        <w:t>the programme participant is obliged to immediately return the full amount of the scholarship received.</w:t>
      </w:r>
    </w:p>
    <w:p w14:paraId="74422FE4" w14:textId="62B3867C" w:rsidR="00C2322D" w:rsidRPr="00D476E8" w:rsidRDefault="00C2322D" w:rsidP="00D476E8">
      <w:pPr>
        <w:pStyle w:val="Akapitzlist"/>
        <w:numPr>
          <w:ilvl w:val="0"/>
          <w:numId w:val="1"/>
        </w:numPr>
        <w:spacing w:line="276" w:lineRule="auto"/>
        <w:ind w:left="426" w:right="-142" w:hanging="426"/>
        <w:jc w:val="both"/>
        <w:rPr>
          <w:lang w:val="en-GB"/>
        </w:rPr>
      </w:pPr>
      <w:r w:rsidRPr="00D476E8">
        <w:rPr>
          <w:lang w:val="en-GB"/>
        </w:rPr>
        <w:t>Each mobility can only be carried out and financed within the framework of one project. It is not possible to use several sources of funding for the same mobility at the same time.</w:t>
      </w:r>
    </w:p>
    <w:p w14:paraId="3D103022" w14:textId="3F083261" w:rsidR="00D476E8" w:rsidRPr="00D476E8" w:rsidRDefault="00D476E8" w:rsidP="00D476E8">
      <w:pPr>
        <w:pStyle w:val="Akapitzlist"/>
        <w:numPr>
          <w:ilvl w:val="0"/>
          <w:numId w:val="1"/>
        </w:numPr>
        <w:spacing w:line="276" w:lineRule="auto"/>
        <w:ind w:left="426" w:right="-142" w:hanging="426"/>
        <w:jc w:val="both"/>
        <w:rPr>
          <w:lang w:val="en-GB"/>
        </w:rPr>
      </w:pPr>
      <w:r w:rsidRPr="00D476E8">
        <w:rPr>
          <w:lang w:val="en-GB"/>
        </w:rPr>
        <w:lastRenderedPageBreak/>
        <w:t>Internship requests submitted outside the designated recruitment periods are considered individually, provided that organisational and programme conditions permit.</w:t>
      </w:r>
    </w:p>
    <w:p w14:paraId="4C482118" w14:textId="7830366D" w:rsidR="00F10FA4" w:rsidRPr="00D476E8" w:rsidRDefault="00F10FA4" w:rsidP="00D476E8">
      <w:pPr>
        <w:spacing w:line="276" w:lineRule="auto"/>
        <w:jc w:val="both"/>
        <w:rPr>
          <w:lang w:val="en-GB"/>
        </w:rPr>
      </w:pPr>
      <w:r w:rsidRPr="00D476E8">
        <w:rPr>
          <w:lang w:val="en-GB"/>
        </w:rPr>
        <w:t>In order to ensure the quality of mobility and to provide participants with the opportunity to acquire the competences identified as key for the Erasmus+ programme</w:t>
      </w:r>
      <w:r w:rsidR="007F1E03" w:rsidRPr="00D476E8">
        <w:rPr>
          <w:lang w:val="en-GB"/>
        </w:rPr>
        <w:t xml:space="preserve">, </w:t>
      </w:r>
      <w:r w:rsidRPr="00D476E8">
        <w:rPr>
          <w:lang w:val="en-GB"/>
        </w:rPr>
        <w:t>doctoral students may not carry out mobility in their country of origin or in another country where the official language is their mother tongue, despite the fact that they study at a university located in a country other than their country of origin or mobility.</w:t>
      </w:r>
    </w:p>
    <w:sectPr w:rsidR="00F10FA4" w:rsidRPr="00D476E8" w:rsidSect="00694527">
      <w:headerReference w:type="even" r:id="rId10"/>
      <w:headerReference w:type="default" r:id="rId11"/>
      <w:footerReference w:type="default" r:id="rId12"/>
      <w:headerReference w:type="first" r:id="rId13"/>
      <w:pgSz w:w="11906" w:h="16838"/>
      <w:pgMar w:top="720" w:right="720" w:bottom="720" w:left="720" w:header="142"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7E34" w14:textId="77777777" w:rsidR="00A862DE" w:rsidRDefault="00A862DE" w:rsidP="009F7538">
      <w:pPr>
        <w:spacing w:after="0" w:line="240" w:lineRule="auto"/>
      </w:pPr>
      <w:r>
        <w:separator/>
      </w:r>
    </w:p>
  </w:endnote>
  <w:endnote w:type="continuationSeparator" w:id="0">
    <w:p w14:paraId="5AB6D1BB" w14:textId="77777777" w:rsidR="00A862DE" w:rsidRDefault="00A862DE" w:rsidP="009F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249033"/>
      <w:docPartObj>
        <w:docPartGallery w:val="Page Numbers (Bottom of Page)"/>
        <w:docPartUnique/>
      </w:docPartObj>
    </w:sdtPr>
    <w:sdtEndPr/>
    <w:sdtContent>
      <w:p w14:paraId="326B44BC" w14:textId="421FE883" w:rsidR="00D476E8" w:rsidRDefault="00D476E8">
        <w:pPr>
          <w:pStyle w:val="Stopka"/>
          <w:jc w:val="right"/>
        </w:pPr>
        <w:r>
          <w:fldChar w:fldCharType="begin"/>
        </w:r>
        <w:r>
          <w:instrText>PAGE   \* MERGEFORMAT</w:instrText>
        </w:r>
        <w:r>
          <w:fldChar w:fldCharType="separate"/>
        </w:r>
        <w:r>
          <w:t>2</w:t>
        </w:r>
        <w:r>
          <w:fldChar w:fldCharType="end"/>
        </w:r>
      </w:p>
    </w:sdtContent>
  </w:sdt>
  <w:p w14:paraId="3A8A4212" w14:textId="77777777" w:rsidR="009F7538" w:rsidRDefault="009F75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CBB5" w14:textId="77777777" w:rsidR="00A862DE" w:rsidRDefault="00A862DE" w:rsidP="009F7538">
      <w:pPr>
        <w:spacing w:after="0" w:line="240" w:lineRule="auto"/>
      </w:pPr>
      <w:r>
        <w:separator/>
      </w:r>
    </w:p>
  </w:footnote>
  <w:footnote w:type="continuationSeparator" w:id="0">
    <w:p w14:paraId="0EE454D9" w14:textId="77777777" w:rsidR="00A862DE" w:rsidRDefault="00A862DE" w:rsidP="009F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634D" w14:textId="7171A51F" w:rsidR="00694527" w:rsidRDefault="00316E57">
    <w:pPr>
      <w:pStyle w:val="Nagwek"/>
    </w:pPr>
    <w:r>
      <w:rPr>
        <w:noProof/>
      </w:rPr>
      <w:pict w14:anchorId="2FD89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0329" o:spid="_x0000_s1026" type="#_x0000_t75" style="position:absolute;margin-left:0;margin-top:0;width:523.05pt;height:544.15pt;z-index:-251657216;mso-position-horizontal:center;mso-position-horizontal-relative:margin;mso-position-vertical:center;mso-position-vertical-relative:margin" o:allowincell="f">
          <v:imagedata r:id="rId1" o:title="LOGO_TRANSPARENTNE_GRANATOW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52FB" w14:textId="239DFE91" w:rsidR="00694527" w:rsidRDefault="00316E57">
    <w:pPr>
      <w:pStyle w:val="Nagwek"/>
    </w:pPr>
    <w:r>
      <w:rPr>
        <w:noProof/>
      </w:rPr>
      <w:pict w14:anchorId="7F3BC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0330" o:spid="_x0000_s1027" type="#_x0000_t75" style="position:absolute;margin-left:0;margin-top:0;width:523.05pt;height:544.15pt;z-index:-251656192;mso-position-horizontal:center;mso-position-horizontal-relative:margin;mso-position-vertical:center;mso-position-vertical-relative:margin" o:allowincell="f">
          <v:imagedata r:id="rId1" o:title="LOGO_TRANSPARENTNE_GRANATOW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1328" w14:textId="05703079" w:rsidR="00694527" w:rsidRDefault="00316E57">
    <w:pPr>
      <w:pStyle w:val="Nagwek"/>
    </w:pPr>
    <w:r>
      <w:rPr>
        <w:noProof/>
      </w:rPr>
      <w:pict w14:anchorId="3C004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70328" o:spid="_x0000_s1025" type="#_x0000_t75" style="position:absolute;margin-left:0;margin-top:0;width:523.05pt;height:544.15pt;z-index:-251658240;mso-position-horizontal:center;mso-position-horizontal-relative:margin;mso-position-vertical:center;mso-position-vertical-relative:margin" o:allowincell="f">
          <v:imagedata r:id="rId1" o:title="LOGO_TRANSPARENTNE_GRANATOW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9518D"/>
    <w:multiLevelType w:val="hybridMultilevel"/>
    <w:tmpl w:val="C4E2A61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55F607D0"/>
    <w:multiLevelType w:val="hybridMultilevel"/>
    <w:tmpl w:val="AAC004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7F5663FD"/>
    <w:multiLevelType w:val="hybridMultilevel"/>
    <w:tmpl w:val="F00EE3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3638152">
    <w:abstractNumId w:val="2"/>
  </w:num>
  <w:num w:numId="2" w16cid:durableId="746801105">
    <w:abstractNumId w:val="1"/>
  </w:num>
  <w:num w:numId="3" w16cid:durableId="25756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81"/>
    <w:rsid w:val="00080E85"/>
    <w:rsid w:val="000D5CE0"/>
    <w:rsid w:val="000E7BD1"/>
    <w:rsid w:val="001A48FB"/>
    <w:rsid w:val="001D1299"/>
    <w:rsid w:val="001E743C"/>
    <w:rsid w:val="00214E39"/>
    <w:rsid w:val="00247A03"/>
    <w:rsid w:val="0025214F"/>
    <w:rsid w:val="00256F6A"/>
    <w:rsid w:val="002E29AA"/>
    <w:rsid w:val="003030FA"/>
    <w:rsid w:val="00316E57"/>
    <w:rsid w:val="00336A94"/>
    <w:rsid w:val="00365A45"/>
    <w:rsid w:val="003C6637"/>
    <w:rsid w:val="003D0289"/>
    <w:rsid w:val="003E79D9"/>
    <w:rsid w:val="004523A7"/>
    <w:rsid w:val="00453AE8"/>
    <w:rsid w:val="00482EF2"/>
    <w:rsid w:val="004964BD"/>
    <w:rsid w:val="005367BC"/>
    <w:rsid w:val="00671F2D"/>
    <w:rsid w:val="00694527"/>
    <w:rsid w:val="006B43AC"/>
    <w:rsid w:val="006C32F3"/>
    <w:rsid w:val="00777D02"/>
    <w:rsid w:val="00785BE4"/>
    <w:rsid w:val="007F1E03"/>
    <w:rsid w:val="00837E58"/>
    <w:rsid w:val="00866E8C"/>
    <w:rsid w:val="00881AA7"/>
    <w:rsid w:val="00924D65"/>
    <w:rsid w:val="0099674E"/>
    <w:rsid w:val="009D07C8"/>
    <w:rsid w:val="009F7538"/>
    <w:rsid w:val="00A85003"/>
    <w:rsid w:val="00A862DE"/>
    <w:rsid w:val="00A96BF6"/>
    <w:rsid w:val="00AD22B4"/>
    <w:rsid w:val="00B31C8F"/>
    <w:rsid w:val="00B914BE"/>
    <w:rsid w:val="00B969E9"/>
    <w:rsid w:val="00BA3C24"/>
    <w:rsid w:val="00BB36ED"/>
    <w:rsid w:val="00BB525B"/>
    <w:rsid w:val="00BC5C28"/>
    <w:rsid w:val="00BE5940"/>
    <w:rsid w:val="00BF1A42"/>
    <w:rsid w:val="00C10AD7"/>
    <w:rsid w:val="00C11F51"/>
    <w:rsid w:val="00C13B40"/>
    <w:rsid w:val="00C2322D"/>
    <w:rsid w:val="00C308A1"/>
    <w:rsid w:val="00C81A9D"/>
    <w:rsid w:val="00C824F5"/>
    <w:rsid w:val="00CF5A7F"/>
    <w:rsid w:val="00D16648"/>
    <w:rsid w:val="00D42F1A"/>
    <w:rsid w:val="00D476E8"/>
    <w:rsid w:val="00D669A3"/>
    <w:rsid w:val="00DB1F42"/>
    <w:rsid w:val="00E10AFA"/>
    <w:rsid w:val="00E23881"/>
    <w:rsid w:val="00E54FCA"/>
    <w:rsid w:val="00EC4F8B"/>
    <w:rsid w:val="00F10FA4"/>
    <w:rsid w:val="00F1256D"/>
    <w:rsid w:val="00F2680D"/>
    <w:rsid w:val="00F45CE1"/>
    <w:rsid w:val="00F7434D"/>
    <w:rsid w:val="00F90C28"/>
    <w:rsid w:val="00F96B65"/>
    <w:rsid w:val="00FD5B2C"/>
    <w:rsid w:val="00FE29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188EB"/>
  <w15:chartTrackingRefBased/>
  <w15:docId w15:val="{E02DB844-22C2-4A5E-A1CD-C63D49F8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54FCA"/>
    <w:pPr>
      <w:autoSpaceDE w:val="0"/>
      <w:autoSpaceDN w:val="0"/>
      <w:adjustRightInd w:val="0"/>
      <w:spacing w:after="0" w:line="240" w:lineRule="auto"/>
    </w:pPr>
    <w:rPr>
      <w:rFonts w:ascii="Calibri" w:hAnsi="Calibri" w:cs="Calibri"/>
      <w:color w:val="000000"/>
      <w:sz w:val="24"/>
      <w:szCs w:val="24"/>
    </w:rPr>
  </w:style>
  <w:style w:type="paragraph" w:customStyle="1" w:styleId="bodytext">
    <w:name w:val="bodytext"/>
    <w:basedOn w:val="Normalny"/>
    <w:rsid w:val="00336A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B1F42"/>
    <w:pPr>
      <w:ind w:left="720"/>
      <w:contextualSpacing/>
    </w:pPr>
  </w:style>
  <w:style w:type="character" w:styleId="Odwoaniedokomentarza">
    <w:name w:val="annotation reference"/>
    <w:basedOn w:val="Domylnaczcionkaakapitu"/>
    <w:uiPriority w:val="99"/>
    <w:semiHidden/>
    <w:unhideWhenUsed/>
    <w:rsid w:val="000D5CE0"/>
    <w:rPr>
      <w:sz w:val="16"/>
      <w:szCs w:val="16"/>
    </w:rPr>
  </w:style>
  <w:style w:type="paragraph" w:styleId="Tekstkomentarza">
    <w:name w:val="annotation text"/>
    <w:basedOn w:val="Normalny"/>
    <w:link w:val="TekstkomentarzaZnak"/>
    <w:uiPriority w:val="99"/>
    <w:unhideWhenUsed/>
    <w:rsid w:val="000D5CE0"/>
    <w:pPr>
      <w:spacing w:line="240" w:lineRule="auto"/>
    </w:pPr>
    <w:rPr>
      <w:sz w:val="20"/>
      <w:szCs w:val="20"/>
    </w:rPr>
  </w:style>
  <w:style w:type="character" w:customStyle="1" w:styleId="TekstkomentarzaZnak">
    <w:name w:val="Tekst komentarza Znak"/>
    <w:basedOn w:val="Domylnaczcionkaakapitu"/>
    <w:link w:val="Tekstkomentarza"/>
    <w:uiPriority w:val="99"/>
    <w:rsid w:val="000D5CE0"/>
    <w:rPr>
      <w:sz w:val="20"/>
      <w:szCs w:val="20"/>
    </w:rPr>
  </w:style>
  <w:style w:type="paragraph" w:styleId="Tematkomentarza">
    <w:name w:val="annotation subject"/>
    <w:basedOn w:val="Tekstkomentarza"/>
    <w:next w:val="Tekstkomentarza"/>
    <w:link w:val="TematkomentarzaZnak"/>
    <w:uiPriority w:val="99"/>
    <w:semiHidden/>
    <w:unhideWhenUsed/>
    <w:rsid w:val="000D5CE0"/>
    <w:rPr>
      <w:b/>
      <w:bCs/>
    </w:rPr>
  </w:style>
  <w:style w:type="character" w:customStyle="1" w:styleId="TematkomentarzaZnak">
    <w:name w:val="Temat komentarza Znak"/>
    <w:basedOn w:val="TekstkomentarzaZnak"/>
    <w:link w:val="Tematkomentarza"/>
    <w:uiPriority w:val="99"/>
    <w:semiHidden/>
    <w:rsid w:val="000D5CE0"/>
    <w:rPr>
      <w:b/>
      <w:bCs/>
      <w:sz w:val="20"/>
      <w:szCs w:val="20"/>
    </w:rPr>
  </w:style>
  <w:style w:type="paragraph" w:styleId="Nagwek">
    <w:name w:val="header"/>
    <w:basedOn w:val="Normalny"/>
    <w:link w:val="NagwekZnak"/>
    <w:uiPriority w:val="99"/>
    <w:unhideWhenUsed/>
    <w:rsid w:val="009F75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538"/>
  </w:style>
  <w:style w:type="paragraph" w:styleId="Stopka">
    <w:name w:val="footer"/>
    <w:basedOn w:val="Normalny"/>
    <w:link w:val="StopkaZnak"/>
    <w:uiPriority w:val="99"/>
    <w:unhideWhenUsed/>
    <w:rsid w:val="009F75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538"/>
  </w:style>
  <w:style w:type="character" w:styleId="Hipercze">
    <w:name w:val="Hyperlink"/>
    <w:basedOn w:val="Domylnaczcionkaakapitu"/>
    <w:uiPriority w:val="99"/>
    <w:unhideWhenUsed/>
    <w:rsid w:val="004964BD"/>
    <w:rPr>
      <w:color w:val="0563C1" w:themeColor="hyperlink"/>
      <w:u w:val="single"/>
    </w:rPr>
  </w:style>
  <w:style w:type="character" w:styleId="Nierozpoznanawzmianka">
    <w:name w:val="Unresolved Mention"/>
    <w:basedOn w:val="Domylnaczcionkaakapitu"/>
    <w:uiPriority w:val="99"/>
    <w:semiHidden/>
    <w:unhideWhenUsed/>
    <w:rsid w:val="0049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6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rasmus@polsl.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D-Erasmus@polsl.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4100</Characters>
  <Application>Microsoft Office Word</Application>
  <DocSecurity>4</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Habek</dc:creator>
  <cp:keywords>, docId:E88CE45E0F2C98C02B2C0ED87F9E146D</cp:keywords>
  <dc:description/>
  <cp:lastModifiedBy>Klaudia Gancarczyk</cp:lastModifiedBy>
  <cp:revision>2</cp:revision>
  <dcterms:created xsi:type="dcterms:W3CDTF">2026-04-16T10:25:00Z</dcterms:created>
  <dcterms:modified xsi:type="dcterms:W3CDTF">2026-04-16T10:25:00Z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2ee15d71-28e4-412c-b893-369ed70493ff</vt:lpwstr>
  </property>
</Properties>
</file>