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1983"/>
        <w:gridCol w:w="559"/>
        <w:gridCol w:w="1258"/>
        <w:gridCol w:w="2268"/>
      </w:tblGrid>
      <w:tr w:rsidR="00670DC3" w:rsidTr="001118A6">
        <w:trPr>
          <w:jc w:val="center"/>
        </w:trPr>
        <w:tc>
          <w:tcPr>
            <w:tcW w:w="5972" w:type="dxa"/>
            <w:gridSpan w:val="4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1. Nazwa przedmiotu</w:t>
            </w:r>
            <w:r w:rsidRPr="00DB2F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bookmarkStart w:id="0" w:name="_GoBack"/>
            <w:r w:rsidR="00742BF2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Technologia BIM w inspekcji obiektów budowlanych</w:t>
            </w:r>
            <w:bookmarkEnd w:id="0"/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E7629E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E7629E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1118A6" w:rsidTr="001118A6">
        <w:trPr>
          <w:trHeight w:val="340"/>
          <w:jc w:val="center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stacjonarne</w:t>
            </w:r>
          </w:p>
        </w:tc>
      </w:tr>
      <w:tr w:rsidR="00670DC3" w:rsidRPr="00E7629E" w:rsidTr="001118A6">
        <w:trPr>
          <w:jc w:val="center"/>
        </w:trPr>
        <w:tc>
          <w:tcPr>
            <w:tcW w:w="9498" w:type="dxa"/>
            <w:gridSpan w:val="6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Interdyscyplinarne studia doktoranckie </w:t>
            </w:r>
            <w:r w:rsidR="004C64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‘</w:t>
            </w:r>
            <w:r w:rsidR="001B21A2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Symulacje w Inżynierii</w:t>
            </w:r>
            <w:r w:rsidR="004C64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’</w:t>
            </w:r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742BF2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Budownictwo</w:t>
            </w:r>
            <w:proofErr w:type="spellEnd"/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E7629E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742BF2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Wydział Budownictwa</w:t>
            </w:r>
            <w:r w:rsidR="004645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Katedra Konstrukcji Budowlanych</w:t>
            </w:r>
          </w:p>
        </w:tc>
      </w:tr>
      <w:tr w:rsidR="00670DC3" w:rsidRPr="001118A6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742B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dr hab. inż. Mariusz Jaśniok, prof. PŚ</w:t>
            </w:r>
          </w:p>
        </w:tc>
      </w:tr>
      <w:tr w:rsidR="00670DC3" w:rsidRPr="00E7629E" w:rsidTr="001118A6">
        <w:trPr>
          <w:jc w:val="center"/>
        </w:trPr>
        <w:tc>
          <w:tcPr>
            <w:tcW w:w="9498" w:type="dxa"/>
            <w:gridSpan w:val="6"/>
          </w:tcPr>
          <w:p w:rsidR="00670DC3" w:rsidRPr="001B21A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moduł fakultatywny</w:t>
            </w:r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13. Status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1E252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moduł</w:t>
            </w:r>
            <w:proofErr w:type="spellEnd"/>
            <w:r w:rsidR="001E252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25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specjalistyczny</w:t>
            </w:r>
            <w:proofErr w:type="spellEnd"/>
          </w:p>
        </w:tc>
      </w:tr>
      <w:tr w:rsidR="00670DC3" w:rsidRPr="001118A6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E7629E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</w:p>
          <w:p w:rsidR="00C56F32" w:rsidRPr="00DB2FFA" w:rsidRDefault="00C56F32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Ukończone </w:t>
            </w:r>
            <w:r w:rsidR="001E25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drugiego stopnia w jednej z dyscyplin w dziedzinie nauk technicznych</w:t>
            </w:r>
          </w:p>
        </w:tc>
      </w:tr>
      <w:tr w:rsidR="00670DC3" w:rsidRPr="00E7629E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</w:p>
          <w:p w:rsidR="004C16C0" w:rsidRDefault="004C16C0" w:rsidP="004C16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Interdyscyplinarne spojrzenie na cyfrową rewolucję w budownictwie, której podstawą jest technologia BIM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Information Modeling), na przykładzie metodyki inspekcji obiektów budowlanych umożliwiającej ocenę trwałości i bezpieczeństwa użytkowania obiektów budowlanych.  </w:t>
            </w:r>
          </w:p>
          <w:p w:rsidR="004C16C0" w:rsidRPr="00DB2FFA" w:rsidRDefault="00AE1A6F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Wykłady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obok głównej dyscypliny ‘budownictwo’ zawierają elementy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dyscyplin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: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‘chemia’, ‘mechanika’, ‘elektronika’,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‘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informatyka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’ i ‘inżynieria materiałowa’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</w:p>
          <w:p w:rsidR="00670DC3" w:rsidRPr="00DB2FFA" w:rsidRDefault="00670DC3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E7629E" w:rsidTr="005E6440">
        <w:trPr>
          <w:jc w:val="center"/>
        </w:trPr>
        <w:tc>
          <w:tcPr>
            <w:tcW w:w="426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004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3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817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D221BC" w:rsidTr="005E6440">
        <w:trPr>
          <w:jc w:val="center"/>
        </w:trPr>
        <w:tc>
          <w:tcPr>
            <w:tcW w:w="426" w:type="dxa"/>
          </w:tcPr>
          <w:p w:rsidR="00670DC3" w:rsidRPr="00DB2FFA" w:rsidRDefault="00633F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3004" w:type="dxa"/>
          </w:tcPr>
          <w:p w:rsidR="00670DC3" w:rsidRPr="00DB2FFA" w:rsidRDefault="00AE1A6F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Zna p</w:t>
            </w:r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odstawy i założenia technologii BIM (</w:t>
            </w:r>
            <w:proofErr w:type="spellStart"/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Building</w:t>
            </w:r>
            <w:proofErr w:type="spellEnd"/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Information </w:t>
            </w:r>
            <w:proofErr w:type="spellStart"/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Modelling</w:t>
            </w:r>
            <w:proofErr w:type="spellEnd"/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) </w:t>
            </w:r>
            <w:r w:rsidR="004C644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stosowanej </w:t>
            </w:r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w budownictwie</w:t>
            </w:r>
          </w:p>
        </w:tc>
        <w:tc>
          <w:tcPr>
            <w:tcW w:w="1983" w:type="dxa"/>
            <w:vAlign w:val="center"/>
          </w:tcPr>
          <w:p w:rsidR="00670DC3" w:rsidRPr="00DB2FFA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817" w:type="dxa"/>
            <w:gridSpan w:val="2"/>
            <w:vAlign w:val="center"/>
          </w:tcPr>
          <w:p w:rsidR="00670DC3" w:rsidRPr="00DB2FFA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EC1BA6" w:rsidRPr="005E6440" w:rsidRDefault="00E7629E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D128E4" w:rsidRPr="005E64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W01+++</w:t>
            </w:r>
          </w:p>
          <w:p w:rsidR="00D128E4" w:rsidRPr="005E6440" w:rsidRDefault="00E7629E" w:rsidP="00D128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D128E4" w:rsidRPr="005E64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W06+++</w:t>
            </w:r>
          </w:p>
        </w:tc>
      </w:tr>
      <w:tr w:rsidR="00670DC3" w:rsidRPr="00D221BC" w:rsidTr="005E6440">
        <w:trPr>
          <w:jc w:val="center"/>
        </w:trPr>
        <w:tc>
          <w:tcPr>
            <w:tcW w:w="426" w:type="dxa"/>
          </w:tcPr>
          <w:p w:rsidR="00670DC3" w:rsidRPr="00DB2FFA" w:rsidRDefault="00F352C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3004" w:type="dxa"/>
          </w:tcPr>
          <w:p w:rsidR="00670DC3" w:rsidRDefault="00702F9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Zna główne przyczyny degradacji obiektów budowlanych oraz sposoby wydłużenia ich</w:t>
            </w:r>
            <w:r w:rsidR="00BF1C26" w:rsidRPr="00BF1C2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trwałości</w:t>
            </w:r>
            <w:r w:rsidR="00BF1C2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, ze szczególnym uwzględnieniem konstrukcji betonowych</w:t>
            </w:r>
          </w:p>
          <w:p w:rsidR="00F352CF" w:rsidRDefault="00F352CF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  <w:p w:rsidR="00F352CF" w:rsidRPr="00DB2FFA" w:rsidRDefault="00F352CF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  <w:vAlign w:val="center"/>
          </w:tcPr>
          <w:p w:rsidR="00670DC3" w:rsidRPr="00DB2FFA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kolokwium</w:t>
            </w:r>
          </w:p>
        </w:tc>
        <w:tc>
          <w:tcPr>
            <w:tcW w:w="1817" w:type="dxa"/>
            <w:gridSpan w:val="2"/>
            <w:vAlign w:val="center"/>
          </w:tcPr>
          <w:p w:rsidR="00670DC3" w:rsidRPr="00DB2FFA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EC1BA6" w:rsidRPr="005E6440" w:rsidRDefault="00E7629E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D128E4" w:rsidRPr="005E64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W04++</w:t>
            </w:r>
          </w:p>
          <w:p w:rsidR="00D128E4" w:rsidRPr="00DB2FFA" w:rsidRDefault="00E7629E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D128E4" w:rsidRPr="005E64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W08+++</w:t>
            </w:r>
          </w:p>
        </w:tc>
      </w:tr>
      <w:tr w:rsidR="00670DC3" w:rsidRPr="00E7629E" w:rsidTr="005E6440">
        <w:trPr>
          <w:jc w:val="center"/>
        </w:trPr>
        <w:tc>
          <w:tcPr>
            <w:tcW w:w="426" w:type="dxa"/>
          </w:tcPr>
          <w:p w:rsidR="00670DC3" w:rsidRPr="00F352CF" w:rsidRDefault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3.</w:t>
            </w:r>
          </w:p>
        </w:tc>
        <w:tc>
          <w:tcPr>
            <w:tcW w:w="3004" w:type="dxa"/>
          </w:tcPr>
          <w:p w:rsidR="00670DC3" w:rsidRPr="001118A6" w:rsidRDefault="00F352CF" w:rsidP="00DB2FFA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Potrafi scharakteryzować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metodykę inspekcji obiektów budowlanych </w:t>
            </w:r>
            <w:r w:rsidRPr="00F352C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w ramach zarządzania ich trwałością</w:t>
            </w:r>
          </w:p>
        </w:tc>
        <w:tc>
          <w:tcPr>
            <w:tcW w:w="1983" w:type="dxa"/>
            <w:vAlign w:val="center"/>
          </w:tcPr>
          <w:p w:rsidR="00670DC3" w:rsidRPr="001118A6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817" w:type="dxa"/>
            <w:gridSpan w:val="2"/>
            <w:vAlign w:val="center"/>
          </w:tcPr>
          <w:p w:rsidR="00670DC3" w:rsidRPr="001118A6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1118A6" w:rsidRPr="001118A6" w:rsidRDefault="00E7629E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U11+</w:t>
            </w:r>
            <w:r w:rsid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++</w:t>
            </w:r>
          </w:p>
          <w:p w:rsidR="001118A6" w:rsidRPr="001118A6" w:rsidRDefault="00E7629E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U07++</w:t>
            </w:r>
          </w:p>
          <w:p w:rsidR="00670DC3" w:rsidRPr="001118A6" w:rsidRDefault="00E7629E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U10++</w:t>
            </w:r>
          </w:p>
        </w:tc>
      </w:tr>
      <w:tr w:rsidR="00670DC3" w:rsidRPr="00E7629E" w:rsidTr="005E6440">
        <w:trPr>
          <w:jc w:val="center"/>
        </w:trPr>
        <w:tc>
          <w:tcPr>
            <w:tcW w:w="426" w:type="dxa"/>
          </w:tcPr>
          <w:p w:rsidR="00670DC3" w:rsidRPr="00F352CF" w:rsidRDefault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3004" w:type="dxa"/>
          </w:tcPr>
          <w:p w:rsidR="00670DC3" w:rsidRPr="00F352CF" w:rsidRDefault="00F352CF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Umie budować wielowymiarowy model BIM kubaturowego obiektu betonowego</w:t>
            </w:r>
          </w:p>
        </w:tc>
        <w:tc>
          <w:tcPr>
            <w:tcW w:w="1983" w:type="dxa"/>
            <w:vAlign w:val="center"/>
          </w:tcPr>
          <w:p w:rsidR="00670DC3" w:rsidRPr="001118A6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817" w:type="dxa"/>
            <w:gridSpan w:val="2"/>
            <w:vAlign w:val="center"/>
          </w:tcPr>
          <w:p w:rsidR="00670DC3" w:rsidRPr="001118A6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1118A6" w:rsidRPr="001118A6" w:rsidRDefault="00E7629E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U11+</w:t>
            </w:r>
            <w:r w:rsid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++</w:t>
            </w:r>
          </w:p>
          <w:p w:rsidR="00EC1BA6" w:rsidRPr="001118A6" w:rsidRDefault="00E7629E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U07++</w:t>
            </w:r>
          </w:p>
          <w:p w:rsidR="001118A6" w:rsidRPr="001118A6" w:rsidRDefault="00E7629E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U10++</w:t>
            </w:r>
          </w:p>
        </w:tc>
      </w:tr>
      <w:tr w:rsidR="00670DC3" w:rsidRPr="001118A6" w:rsidTr="005E6440">
        <w:trPr>
          <w:jc w:val="center"/>
        </w:trPr>
        <w:tc>
          <w:tcPr>
            <w:tcW w:w="426" w:type="dxa"/>
          </w:tcPr>
          <w:p w:rsidR="00670DC3" w:rsidRPr="00F352CF" w:rsidRDefault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3004" w:type="dxa"/>
          </w:tcPr>
          <w:p w:rsidR="00670DC3" w:rsidRPr="001118A6" w:rsidRDefault="001118A6" w:rsidP="00DB2FFA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Potrafi myśleć interdyscyplinarnie w sposób kreatywny implementując wiedzę z różnych dyscyplin w ramach dziedziny nauk technicznych</w:t>
            </w:r>
          </w:p>
        </w:tc>
        <w:tc>
          <w:tcPr>
            <w:tcW w:w="1983" w:type="dxa"/>
            <w:vAlign w:val="center"/>
          </w:tcPr>
          <w:p w:rsidR="00670DC3" w:rsidRPr="00F352CF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817" w:type="dxa"/>
            <w:gridSpan w:val="2"/>
            <w:vAlign w:val="center"/>
          </w:tcPr>
          <w:p w:rsidR="00670DC3" w:rsidRPr="001118A6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EC1BA6" w:rsidRDefault="00E7629E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K05</w:t>
            </w:r>
            <w:r w:rsid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+++</w:t>
            </w:r>
          </w:p>
          <w:p w:rsidR="001118A6" w:rsidRPr="001118A6" w:rsidRDefault="00E7629E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K02</w:t>
            </w:r>
            <w:r w:rsid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++</w:t>
            </w:r>
          </w:p>
        </w:tc>
      </w:tr>
      <w:tr w:rsidR="00670DC3" w:rsidRPr="001118A6" w:rsidTr="005E6440">
        <w:trPr>
          <w:jc w:val="center"/>
        </w:trPr>
        <w:tc>
          <w:tcPr>
            <w:tcW w:w="426" w:type="dxa"/>
          </w:tcPr>
          <w:p w:rsidR="00670DC3" w:rsidRPr="00F352CF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670DC3" w:rsidRPr="001118A6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</w:tcPr>
          <w:p w:rsidR="00670DC3" w:rsidRPr="001118A6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17" w:type="dxa"/>
            <w:gridSpan w:val="2"/>
          </w:tcPr>
          <w:p w:rsidR="00670DC3" w:rsidRPr="001118A6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670DC3" w:rsidRPr="001118A6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-       L. -      P. -       Sem.  </w:t>
            </w:r>
            <w:r w:rsidR="0049749C">
              <w:rPr>
                <w:rFonts w:ascii="Times New Roman" w:eastAsia="Times New Roman" w:hAnsi="Times New Roman" w:cs="Times New Roman"/>
                <w:b/>
                <w:color w:val="000000"/>
              </w:rPr>
              <w:t>–</w:t>
            </w:r>
          </w:p>
          <w:p w:rsidR="0049749C" w:rsidRDefault="0049749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 w:rsidRPr="00E7629E" w:rsidTr="001118A6">
        <w:trPr>
          <w:jc w:val="center"/>
        </w:trPr>
        <w:tc>
          <w:tcPr>
            <w:tcW w:w="9498" w:type="dxa"/>
            <w:gridSpan w:val="6"/>
          </w:tcPr>
          <w:p w:rsidR="00D51539" w:rsidRPr="005E644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19</w:t>
            </w:r>
            <w:r w:rsidRPr="005E6440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Pr="005E6440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Treści kształcenia:</w:t>
            </w:r>
          </w:p>
          <w:p w:rsidR="00670DC3" w:rsidRPr="001118A6" w:rsidRDefault="003F53BC" w:rsidP="003212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    </w:t>
            </w:r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Podstawy i założenia technologii BIM (</w:t>
            </w:r>
            <w:proofErr w:type="spellStart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Building</w:t>
            </w:r>
            <w:proofErr w:type="spellEnd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Information </w:t>
            </w:r>
            <w:proofErr w:type="spellStart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Modelling</w:t>
            </w:r>
            <w:proofErr w:type="spellEnd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) w budownictwie. Poziomy dojrzałości BIM-u (</w:t>
            </w:r>
            <w:proofErr w:type="spellStart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level</w:t>
            </w:r>
            <w:proofErr w:type="spellEnd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0, 1, 2, 3). Użytkownicy BIM-u</w:t>
            </w:r>
            <w:r w:rsidR="00BD2C99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 ich wzajemne powiązania.</w:t>
            </w:r>
            <w:r w:rsidR="0058102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Poziomy zaawansowania </w:t>
            </w:r>
            <w:r w:rsidR="001B7EB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modeli BIM </w:t>
            </w:r>
            <w:r w:rsidR="0058102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(LOD</w:t>
            </w:r>
            <w:r w:rsidR="001B7EB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1, 2, 3, 4, 5, 6</w:t>
            </w:r>
            <w:r w:rsidR="0058102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)</w:t>
            </w:r>
            <w:r w:rsidR="001B7EB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oraz ich wielowymiarowość (3D, 4D, 5D, 6D, 7D).</w:t>
            </w:r>
            <w:r w:rsidR="00BD2C99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BIM jako narzędzie do zarządzania całym cyklem życia obiektu budowlanego.</w:t>
            </w:r>
          </w:p>
          <w:p w:rsidR="006D407A" w:rsidRPr="001118A6" w:rsidRDefault="003F53BC" w:rsidP="003212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    </w:t>
            </w:r>
            <w:r w:rsidR="00CE02E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Podstawy trwałości </w:t>
            </w:r>
            <w:r w:rsidR="0099735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budowli (czas życia i okres użytkowania konstrukcji). Typowe uszkodzenia konstrukcji </w:t>
            </w:r>
            <w:r w:rsidR="0093130C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betonowych</w:t>
            </w:r>
            <w:r w:rsidR="0099735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ujawniające się w trakcie </w:t>
            </w:r>
            <w:r w:rsidR="00056B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wielo</w:t>
            </w:r>
            <w:r w:rsidR="0099735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letniej eksploatacji.</w:t>
            </w:r>
            <w:r w:rsidR="0072341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C226F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Czynniki środowiskowe oddziałujące destrukcyjnie na budowle</w:t>
            </w: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betonowe i stalowe</w:t>
            </w:r>
            <w:r w:rsidR="00C226F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="00FE7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Przebieg degradacji korozyjnej</w:t>
            </w:r>
            <w:r w:rsidR="00C226F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93130C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konstrukcji betonowych</w:t>
            </w: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 stalowych</w:t>
            </w:r>
            <w:r w:rsidR="006D407A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="0093130C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Analityczne prognozowanie trwałości żelbetu</w:t>
            </w:r>
            <w:r w:rsidR="00FE7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na podstawie równań dyfuzji Ficka</w:t>
            </w:r>
            <w:r w:rsidR="0093130C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="0099735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Zagrożenie bezpieczeństwa i obniżenie komfortu użytkowania </w:t>
            </w:r>
            <w:r w:rsidR="00683E5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obiektu budowlanego wskutek stopniowego zużycia materiałów oraz </w:t>
            </w:r>
            <w:r w:rsidR="0072341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 wyniku zadziałania obciążeń wyjątkowych.</w:t>
            </w:r>
            <w:r w:rsidR="006D407A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72341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1B7EB1" w:rsidRPr="001118A6" w:rsidRDefault="003F53BC" w:rsidP="003212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    </w:t>
            </w:r>
            <w:r w:rsidR="0072341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Podstawy</w:t>
            </w:r>
            <w:r w:rsidR="000D691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inspekcji obiektów budowlanych</w:t>
            </w:r>
            <w:r w:rsidR="00D718F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 ramach zarządzania ich trwałością</w:t>
            </w:r>
            <w:r w:rsidR="000D691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 M</w:t>
            </w:r>
            <w:r w:rsidR="0072341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etodyk</w:t>
            </w:r>
            <w:r w:rsidR="000D691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a</w:t>
            </w:r>
            <w:r w:rsidR="0072341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0D691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diagnostyki</w:t>
            </w:r>
            <w:r w:rsidR="0072341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 monitoringu konstrukcji</w:t>
            </w:r>
            <w:r w:rsidR="006D407A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betonowych. </w:t>
            </w:r>
            <w:r w:rsidR="0093130C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Niszczące, quasi niszczące i nieniszczące badania wytrzymałości betonu</w:t>
            </w:r>
            <w:r w:rsidR="004974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 istniejących konstrukcjach</w:t>
            </w:r>
            <w:r w:rsidR="0093130C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 Lokalizacja wad w betonie. Lokalizacja zbrojenia w konstrukcjach żelbetowych. Określenie wytrzymałości stali zbrojeniowej</w:t>
            </w:r>
            <w:r w:rsidR="004974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 konstrukcji</w:t>
            </w:r>
            <w:r w:rsidR="0093130C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Badania właściwości ochronnych betonu względem zbrojenia. Elektrochemiczne pomiary zagrożenia korozją zbrojenia w konstrukcji betonowej.</w:t>
            </w:r>
          </w:p>
          <w:p w:rsidR="004F7EE7" w:rsidRPr="001118A6" w:rsidRDefault="000D691B" w:rsidP="003212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    </w:t>
            </w:r>
            <w:r w:rsidR="004974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Koncepcja wdrożenia</w:t>
            </w:r>
            <w:r w:rsidR="00FE207E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technologii BIM </w:t>
            </w:r>
            <w:r w:rsidR="0066702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do </w:t>
            </w:r>
            <w:r w:rsidR="00FE207E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inspekcji obiektów budowlanych. Podstawy budowy modelu BIM</w:t>
            </w:r>
            <w:r w:rsidR="00D718F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na przykładzie</w:t>
            </w:r>
            <w:r w:rsidR="00FE207E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konstrukcji żelbetowej</w:t>
            </w:r>
            <w:r w:rsidR="00D718F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</w:t>
            </w:r>
            <w:r w:rsidR="0034429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Utworzenie modelu</w:t>
            </w:r>
            <w:r w:rsidR="004974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BIM</w:t>
            </w:r>
            <w:r w:rsidR="0034429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6D uwzględniającego</w:t>
            </w:r>
            <w:r w:rsidR="004974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możliwość zarządzania</w:t>
            </w:r>
            <w:r w:rsidR="0034429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trwałoś</w:t>
            </w:r>
            <w:r w:rsidR="004974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cią</w:t>
            </w:r>
            <w:r w:rsidR="0034429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projektowanej konstrukcji</w:t>
            </w:r>
            <w:r w:rsidR="00FE7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betonowej</w:t>
            </w:r>
            <w:r w:rsidR="009A4E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przy zdefiniowanych czynnikach środowiskowych oddziałujących na obiekt</w:t>
            </w:r>
            <w:r w:rsidR="0034429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 Sposób uwzględnienia w modelu BIM uszkodzeń mechanicznych i korozyjnych żelbetu. Zaimplementowanie w modelu BIM procedur analitycznego prognozowania trwałości konstrukcji żelbetowej</w:t>
            </w:r>
            <w:r w:rsidR="00AC19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na podstawie</w:t>
            </w:r>
            <w:r w:rsidR="00FE7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matematycznych</w:t>
            </w:r>
            <w:r w:rsidR="00AC19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modeli dyfuzji czynników korozyjnych </w:t>
            </w:r>
            <w:r w:rsidR="009A4E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 betonie</w:t>
            </w:r>
            <w:r w:rsidR="0034429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="0047728E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4F7EE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Utworzenie modelu 7D obiektu betonowego </w:t>
            </w:r>
            <w:r w:rsidR="004974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 celu</w:t>
            </w:r>
            <w:r w:rsidR="004F7EE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wybrania optymalnego momentu i metody naprawy</w:t>
            </w:r>
            <w:r w:rsidR="00FE7E6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FE7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na podstawie</w:t>
            </w:r>
            <w:r w:rsidR="00FE7E6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symulacji numerycznych postępu destrukcji korozyjnej żelbetu</w:t>
            </w:r>
            <w:r w:rsidR="004F7EE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Wykorzystanie modelu BIM 7D do </w:t>
            </w:r>
            <w:r w:rsidR="004974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zarządzania i kontroli skuteczności</w:t>
            </w:r>
            <w:r w:rsidR="004F7EE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regeneracji </w:t>
            </w:r>
            <w:r w:rsidR="004974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uszkodzonego korozyjnie </w:t>
            </w:r>
            <w:r w:rsidR="004F7EE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betonu metodą elektrochemicznej realkalizacji i ekstrakcji chlorków. </w:t>
            </w:r>
          </w:p>
          <w:p w:rsidR="003F53BC" w:rsidRPr="001118A6" w:rsidRDefault="004F7EE7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    </w:t>
            </w:r>
            <w:r w:rsidR="00F352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</w:t>
            </w: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ierunk</w:t>
            </w:r>
            <w:r w:rsidR="00F352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</w:t>
            </w: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dalszego rozwoju i</w:t>
            </w:r>
            <w:r w:rsidR="00FF626D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udoskonalania narzędzi technologii BIM w zakresie inspekcji obiektów budowlanych.</w:t>
            </w:r>
            <w:r w:rsidR="00FF626D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670DC3" w:rsidRPr="00DB2FFA" w:rsidRDefault="00670DC3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  <w:tr w:rsidR="003F53BC" w:rsidTr="001118A6">
        <w:trPr>
          <w:jc w:val="center"/>
        </w:trPr>
        <w:tc>
          <w:tcPr>
            <w:tcW w:w="9498" w:type="dxa"/>
            <w:gridSpan w:val="6"/>
          </w:tcPr>
          <w:p w:rsidR="003F53BC" w:rsidRDefault="003F53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505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5"/>
      </w:tblGrid>
      <w:tr w:rsidR="00670DC3" w:rsidRPr="00E7629E" w:rsidTr="00507D08">
        <w:tc>
          <w:tcPr>
            <w:tcW w:w="9505" w:type="dxa"/>
          </w:tcPr>
          <w:p w:rsidR="00670DC3" w:rsidRPr="00507D08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</w:pPr>
            <w:r w:rsidRPr="00507D08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lastRenderedPageBreak/>
              <w:t>21. Literatura podstawowa:</w:t>
            </w:r>
          </w:p>
          <w:p w:rsidR="001E252B" w:rsidRPr="001118A6" w:rsidRDefault="001E252B" w:rsidP="001E25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1. </w:t>
            </w:r>
            <w:proofErr w:type="spellStart"/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Kasznia</w:t>
            </w:r>
            <w:proofErr w:type="spellEnd"/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D., Magiera J., </w:t>
            </w:r>
            <w:proofErr w:type="spellStart"/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Wierzowiecki</w:t>
            </w:r>
            <w:proofErr w:type="spellEnd"/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P.: </w:t>
            </w:r>
            <w:r w:rsidR="00D221BC"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B</w:t>
            </w:r>
            <w:r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 xml:space="preserve">IM w praktyce: standardy, wdrożenie, </w:t>
            </w:r>
            <w:proofErr w:type="spellStart"/>
            <w:r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case</w:t>
            </w:r>
            <w:proofErr w:type="spellEnd"/>
            <w:r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study</w:t>
            </w:r>
            <w:proofErr w:type="spellEnd"/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PWN, Warszawa 2017, s. 306.</w:t>
            </w:r>
          </w:p>
          <w:p w:rsidR="001E252B" w:rsidRPr="001118A6" w:rsidRDefault="001E252B" w:rsidP="001E25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2. </w:t>
            </w:r>
            <w:r w:rsidR="00E95C6A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Drobiec Ł., Jasiński R., Piek</w:t>
            </w:r>
            <w:r w:rsidR="003B4F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a</w:t>
            </w:r>
            <w:r w:rsidR="00E95C6A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rczyk A.: </w:t>
            </w:r>
            <w:r w:rsidR="00E95C6A"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Diagnostyka konstrukcji żelbetowych. Metodologia, badania polowe, badania laboratoryjne betonu i stali</w:t>
            </w:r>
            <w:r w:rsidR="00E95C6A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PWN, Warszawa 2010, s. 658.</w:t>
            </w:r>
          </w:p>
          <w:p w:rsidR="00E95C6A" w:rsidRPr="001118A6" w:rsidRDefault="00E95C6A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3. Zybura A., Jaśniok M., Ja</w:t>
            </w:r>
            <w:r w:rsidR="003B4F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ś</w:t>
            </w: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niok T.: </w:t>
            </w:r>
            <w:r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Diagnostyka konstrukcji żelbetowych. Badania korozji zbrojenia i właściwości ochronnych betonu</w:t>
            </w: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PWN, Warszawa 2011, s. 274.</w:t>
            </w:r>
          </w:p>
          <w:p w:rsidR="00670DC3" w:rsidRPr="001118A6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70DC3" w:rsidRPr="00E7629E" w:rsidTr="00507D08">
        <w:tc>
          <w:tcPr>
            <w:tcW w:w="9505" w:type="dxa"/>
          </w:tcPr>
          <w:p w:rsidR="00670DC3" w:rsidRPr="00507D08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</w:pPr>
            <w:r w:rsidRPr="00507D08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22. Literatura uzupelniająca:</w:t>
            </w:r>
          </w:p>
          <w:p w:rsidR="0005256D" w:rsidRPr="00D221BC" w:rsidRDefault="0005256D" w:rsidP="0005256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7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1.</w:t>
            </w:r>
            <w:r w:rsidR="00D221BC" w:rsidRPr="00E7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D221BC" w:rsidRPr="00E7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Jeong</w:t>
            </w:r>
            <w:proofErr w:type="spellEnd"/>
            <w:r w:rsidR="00D221BC" w:rsidRPr="00E7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Y.S., et al. </w:t>
            </w:r>
            <w:r w:rsidR="00D221BC"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Benchmark tests for BIM data exchanges of precast concrete. </w:t>
            </w:r>
            <w:r w:rsidR="00D221BC" w:rsidRPr="00D22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Automation in construction</w:t>
            </w:r>
            <w:r w:rsidR="00D221BC"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2009, 18.4: 469-484.</w:t>
            </w:r>
          </w:p>
          <w:p w:rsidR="0005256D" w:rsidRDefault="0005256D" w:rsidP="0005256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2.</w:t>
            </w:r>
            <w:r w:rsidR="00D221BC"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D221BC"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Zhang, J. P., &amp; Hu, Z. Z. (2011). BIM-and 4D-based integrated solution of analysis and management for conflicts and structural safety problems during construction: 1. Principles and methodologies. </w:t>
            </w:r>
            <w:r w:rsidR="00D221BC" w:rsidRPr="00D22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Automation in construction</w:t>
            </w:r>
            <w:r w:rsidR="00D221BC"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 </w:t>
            </w:r>
            <w:r w:rsidR="00D221BC" w:rsidRPr="00D221B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20</w:t>
            </w:r>
            <w:r w:rsidR="00D22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221BC"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(2), 155-166.</w:t>
            </w:r>
          </w:p>
          <w:p w:rsidR="00D221BC" w:rsidRPr="00E7629E" w:rsidRDefault="00D221BC" w:rsidP="0005256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Jeong</w:t>
            </w:r>
            <w:proofErr w:type="spellEnd"/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Y. S., Eastman, C. M., Sacks, R., &amp; </w:t>
            </w:r>
            <w:proofErr w:type="spellStart"/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Kaner</w:t>
            </w:r>
            <w:proofErr w:type="spellEnd"/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I. (2009). Benchmark tests for BIM data exchanges of precast concrete. </w:t>
            </w:r>
            <w:r w:rsidRPr="00E7629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pl-PL"/>
              </w:rPr>
              <w:t xml:space="preserve">Automation in </w:t>
            </w:r>
            <w:proofErr w:type="spellStart"/>
            <w:r w:rsidRPr="00E7629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pl-PL"/>
              </w:rPr>
              <w:t>construction</w:t>
            </w:r>
            <w:proofErr w:type="spellEnd"/>
            <w:r w:rsidRPr="00E7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 </w:t>
            </w:r>
            <w:r w:rsidRPr="00E7629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pl-PL"/>
              </w:rPr>
              <w:t>18</w:t>
            </w:r>
            <w:r w:rsidRPr="00E7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(4), 469-484.</w:t>
            </w:r>
          </w:p>
          <w:p w:rsidR="00D221BC" w:rsidRPr="00D221BC" w:rsidRDefault="00D221BC" w:rsidP="0005256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4</w:t>
            </w:r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Salamak, M., &amp; </w:t>
            </w:r>
            <w:proofErr w:type="spellStart"/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Kasznia</w:t>
            </w:r>
            <w:proofErr w:type="spellEnd"/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D. (2017). Technologia BIM w projektach mostowych jako element rewolucji przemysłowej 4.0. </w:t>
            </w:r>
            <w:r w:rsidRPr="00D22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pl-PL"/>
              </w:rPr>
              <w:t>Mosty</w:t>
            </w:r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</w:p>
          <w:p w:rsidR="004B27F3" w:rsidRPr="001118A6" w:rsidRDefault="00D221BC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5</w:t>
            </w:r>
            <w:r w:rsidR="0005256D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05256D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Jaśniok M.: </w:t>
            </w:r>
            <w:r w:rsidR="0005256D"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Modelowanie układu stal-beton w pomiarach szybkości korozji zbrojenia met</w:t>
            </w:r>
            <w:r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odą spektroskopii impedancyjnej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Wydawnictwo Politechniki Śląskiej, Gliwice, 2013.</w:t>
            </w:r>
          </w:p>
          <w:p w:rsidR="00670DC3" w:rsidRPr="001118A6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70DC3" w:rsidTr="00507D08">
        <w:tc>
          <w:tcPr>
            <w:tcW w:w="9505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E7629E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Forma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 w:rsidTr="00507D08">
        <w:tc>
          <w:tcPr>
            <w:tcW w:w="9505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70DC3" w:rsidTr="00507D08">
        <w:tc>
          <w:tcPr>
            <w:tcW w:w="9505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E7629E" w:rsidTr="00507D08">
        <w:tc>
          <w:tcPr>
            <w:tcW w:w="9505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E7629E" w:rsidTr="00507D08">
        <w:tc>
          <w:tcPr>
            <w:tcW w:w="9505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Tr="00507D08">
        <w:tc>
          <w:tcPr>
            <w:tcW w:w="9505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</w:t>
      </w:r>
      <w:r w:rsidR="00E7629E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kierownika studiów doktoranckich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75" w:rsidRDefault="008B5075" w:rsidP="00670DC3">
      <w:r>
        <w:separator/>
      </w:r>
    </w:p>
  </w:endnote>
  <w:endnote w:type="continuationSeparator" w:id="0">
    <w:p w:rsidR="008B5075" w:rsidRDefault="008B5075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75" w:rsidRDefault="008B5075" w:rsidP="00670DC3">
      <w:r>
        <w:separator/>
      </w:r>
    </w:p>
  </w:footnote>
  <w:footnote w:type="continuationSeparator" w:id="0">
    <w:p w:rsidR="008B5075" w:rsidRDefault="008B5075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rgUAknNTlSwAAAA="/>
  </w:docVars>
  <w:rsids>
    <w:rsidRoot w:val="00670DC3"/>
    <w:rsid w:val="0005256D"/>
    <w:rsid w:val="00056B35"/>
    <w:rsid w:val="000D691B"/>
    <w:rsid w:val="001118A6"/>
    <w:rsid w:val="00124AB7"/>
    <w:rsid w:val="00137466"/>
    <w:rsid w:val="001B21A2"/>
    <w:rsid w:val="001B7EB1"/>
    <w:rsid w:val="001E252B"/>
    <w:rsid w:val="00242D12"/>
    <w:rsid w:val="00301689"/>
    <w:rsid w:val="00321206"/>
    <w:rsid w:val="00344297"/>
    <w:rsid w:val="003B4F7A"/>
    <w:rsid w:val="003F53BC"/>
    <w:rsid w:val="0046453E"/>
    <w:rsid w:val="0047728E"/>
    <w:rsid w:val="004808F0"/>
    <w:rsid w:val="0049749C"/>
    <w:rsid w:val="004B27F3"/>
    <w:rsid w:val="004C16C0"/>
    <w:rsid w:val="004C6443"/>
    <w:rsid w:val="004F7EE7"/>
    <w:rsid w:val="00507D08"/>
    <w:rsid w:val="00581028"/>
    <w:rsid w:val="005922E6"/>
    <w:rsid w:val="005E6440"/>
    <w:rsid w:val="006109BE"/>
    <w:rsid w:val="00633F6B"/>
    <w:rsid w:val="0066702B"/>
    <w:rsid w:val="00670DC3"/>
    <w:rsid w:val="00683E58"/>
    <w:rsid w:val="006D407A"/>
    <w:rsid w:val="00702F95"/>
    <w:rsid w:val="0072341B"/>
    <w:rsid w:val="00742BF2"/>
    <w:rsid w:val="0074303D"/>
    <w:rsid w:val="007A297F"/>
    <w:rsid w:val="008B5075"/>
    <w:rsid w:val="0093130C"/>
    <w:rsid w:val="00997358"/>
    <w:rsid w:val="009A4E32"/>
    <w:rsid w:val="00AC1905"/>
    <w:rsid w:val="00AE1A6F"/>
    <w:rsid w:val="00BD2C99"/>
    <w:rsid w:val="00BF1C26"/>
    <w:rsid w:val="00C226F1"/>
    <w:rsid w:val="00C56F32"/>
    <w:rsid w:val="00CE02E8"/>
    <w:rsid w:val="00D128E4"/>
    <w:rsid w:val="00D221BC"/>
    <w:rsid w:val="00D51539"/>
    <w:rsid w:val="00D718F1"/>
    <w:rsid w:val="00DB2FFA"/>
    <w:rsid w:val="00DB78E6"/>
    <w:rsid w:val="00E7629E"/>
    <w:rsid w:val="00E95C6A"/>
    <w:rsid w:val="00EA2CAE"/>
    <w:rsid w:val="00EC1BA6"/>
    <w:rsid w:val="00EE77C3"/>
    <w:rsid w:val="00F352CF"/>
    <w:rsid w:val="00FE207E"/>
    <w:rsid w:val="00FE7E67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B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4</cp:revision>
  <dcterms:created xsi:type="dcterms:W3CDTF">2018-05-25T16:42:00Z</dcterms:created>
  <dcterms:modified xsi:type="dcterms:W3CDTF">2018-06-20T22:38:00Z</dcterms:modified>
</cp:coreProperties>
</file>