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</w:pPr>
      <w:bookmarkStart w:id="0" w:name="_GoBack"/>
      <w:bookmarkEnd w:id="0"/>
      <w:r w:rsidRPr="00DB2FFA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Załącznik Nr 5 do Zarz. Nr 33/11/12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lang w:val="pl-PL"/>
        </w:rPr>
      </w:pPr>
    </w:p>
    <w:p w:rsidR="00670DC3" w:rsidRPr="00DB2FFA" w:rsidRDefault="004808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lang w:val="pl-PL"/>
        </w:rPr>
      </w:pP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6in;margin-top:0;width:54.5pt;height:1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1" o:spid="_x0000_s1027" style="position:absolute;margin-left:370pt;margin-top:0;width:62.75pt;height:1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Verdana" w:eastAsia="Verdana" w:hAnsi="Verdana" w:cs="Verdana"/>
          <w:noProof/>
          <w:color w:val="00000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324pt;margin-top:0;width:47.25pt;height:1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pieczęć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wydziału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KARTA PRZEDMIOTU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04"/>
        <w:gridCol w:w="2027"/>
        <w:gridCol w:w="515"/>
        <w:gridCol w:w="1258"/>
        <w:gridCol w:w="2268"/>
      </w:tblGrid>
      <w:tr w:rsidR="00670DC3">
        <w:tc>
          <w:tcPr>
            <w:tcW w:w="5972" w:type="dxa"/>
            <w:gridSpan w:val="4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1. Nazwa przedmiotu</w:t>
            </w:r>
            <w:r w:rsidRPr="00DB2FFA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>:</w:t>
            </w:r>
            <w:r w:rsidR="006B1193"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lang w:val="pl-PL"/>
              </w:rPr>
              <w:t xml:space="preserve"> </w:t>
            </w:r>
            <w:r w:rsidR="006B1193"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Technologia BIM </w:t>
            </w:r>
            <w:proofErr w:type="spellStart"/>
            <w:r w:rsidR="006B1193"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Building</w:t>
            </w:r>
            <w:proofErr w:type="spellEnd"/>
            <w:r w:rsidR="006B1193"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Information Modeling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AB540E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AB540E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AB540E">
        <w:trPr>
          <w:trHeight w:val="340"/>
        </w:trPr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DB2FFA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studia stacjonarne </w:t>
            </w:r>
            <w:r w:rsidR="00DB2FFA"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 niestacjonarne</w:t>
            </w:r>
          </w:p>
        </w:tc>
      </w:tr>
      <w:tr w:rsidR="00670DC3" w:rsidRPr="00AB540E">
        <w:tc>
          <w:tcPr>
            <w:tcW w:w="9498" w:type="dxa"/>
            <w:gridSpan w:val="6"/>
          </w:tcPr>
          <w:p w:rsidR="00670DC3" w:rsidRPr="001B21A2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sz w:val="22"/>
                <w:szCs w:val="22"/>
                <w:lang w:val="pl-PL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smallCaps/>
                <w:color w:val="000000"/>
                <w:lang w:val="pl-PL"/>
              </w:rPr>
              <w:t xml:space="preserve">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Interdyscyplinarne studia doktoranckie</w:t>
            </w:r>
            <w:r w:rsidR="001B21A2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Symulacje w Inżynierii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>
        <w:tc>
          <w:tcPr>
            <w:tcW w:w="9498" w:type="dxa"/>
            <w:gridSpan w:val="6"/>
          </w:tcPr>
          <w:p w:rsidR="00670DC3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 w:rsid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Dyscyplina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6B1193"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Budownictwo</w:t>
            </w:r>
            <w:proofErr w:type="spellEnd"/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Semestr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1B21A2">
        <w:tc>
          <w:tcPr>
            <w:tcW w:w="949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10. Jednostka prowadząca przedmiot: </w:t>
            </w:r>
            <w:r w:rsidR="006B1193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RB</w:t>
            </w:r>
          </w:p>
        </w:tc>
      </w:tr>
      <w:tr w:rsidR="00670DC3" w:rsidRPr="001B21A2">
        <w:tc>
          <w:tcPr>
            <w:tcW w:w="9498" w:type="dxa"/>
            <w:gridSpan w:val="6"/>
          </w:tcPr>
          <w:p w:rsidR="00670DC3" w:rsidRPr="00DB2FFA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: </w:t>
            </w:r>
            <w:r w:rsid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Marek Salamak</w:t>
            </w:r>
          </w:p>
        </w:tc>
      </w:tr>
      <w:tr w:rsidR="00670DC3" w:rsidRPr="00AB540E">
        <w:tc>
          <w:tcPr>
            <w:tcW w:w="9498" w:type="dxa"/>
            <w:gridSpan w:val="6"/>
          </w:tcPr>
          <w:p w:rsidR="00670DC3" w:rsidRPr="001B21A2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1B21A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1B21A2" w:rsidRPr="001B21A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moduł </w:t>
            </w:r>
            <w:r w:rsid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specjalistyczny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13. Status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przedmiotu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6B1193"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wybieralny</w:t>
            </w:r>
            <w:proofErr w:type="spellEnd"/>
          </w:p>
        </w:tc>
      </w:tr>
      <w:tr w:rsidR="00670DC3" w:rsidRPr="00AB540E">
        <w:tc>
          <w:tcPr>
            <w:tcW w:w="9498" w:type="dxa"/>
            <w:gridSpan w:val="6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polski</w:t>
            </w:r>
            <w:r w:rsidR="00DB2FFA"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/a</w:t>
            </w:r>
            <w:r w:rsid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ngielski</w:t>
            </w:r>
          </w:p>
        </w:tc>
      </w:tr>
      <w:tr w:rsidR="00670DC3" w:rsidRPr="006B1193">
        <w:tc>
          <w:tcPr>
            <w:tcW w:w="9498" w:type="dxa"/>
            <w:gridSpan w:val="6"/>
          </w:tcPr>
          <w:p w:rsidR="007C1099" w:rsidRDefault="00EC1BA6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</w:p>
          <w:p w:rsidR="00670DC3" w:rsidRPr="00DB2FFA" w:rsidRDefault="006B1193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Wiedza z zakresu u</w:t>
            </w:r>
            <w:r w:rsidR="007C10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ż</w:t>
            </w: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ytkowania systemu MS Windows</w:t>
            </w:r>
            <w:r w:rsidR="007C10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oraz</w:t>
            </w: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oprogramowania </w:t>
            </w:r>
            <w:r w:rsidR="007C10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MS Office, </w:t>
            </w: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CAD (AutoCAD)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Podstawy mechaniki, wytrzymało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ś</w:t>
            </w: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ci materiałów,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projektowania </w:t>
            </w:r>
            <w:r w:rsidRPr="006B119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konstrukcji, MES</w:t>
            </w:r>
            <w:r w:rsidR="007C10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</w:p>
        </w:tc>
      </w:tr>
      <w:tr w:rsidR="00670DC3" w:rsidRPr="006B1193">
        <w:tc>
          <w:tcPr>
            <w:tcW w:w="9498" w:type="dxa"/>
            <w:gridSpan w:val="6"/>
          </w:tcPr>
          <w:p w:rsidR="00670DC3" w:rsidRPr="00DB2FFA" w:rsidRDefault="00EC1BA6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</w:p>
          <w:p w:rsidR="00670DC3" w:rsidRPr="00DB2FFA" w:rsidRDefault="0074282B" w:rsidP="007428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7428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Wprowadzenie do technologii BIM, zapoznanie słuchaczy z podstawowymi pojęciami i technologiami BIM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. 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Pokazanie zasadniczych różnic między tradycyjną technologią CAD, a technologią BIM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. 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Przedyskutowanie wpływu BIM na praktykę inżynierską, zasada </w:t>
            </w:r>
            <w:proofErr w:type="spellStart"/>
            <w:r w:rsidRPr="0074282B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  <w:lang w:val="pl-PL"/>
              </w:rPr>
              <w:t>build-it-twice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. 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Przekazanie podstawowej wiedzy z zakresu informatyki pozwalającej zrozumieć informatyczne podstawy technologii BIM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. 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BIM jako nowoczesny proces biznesowy oparty o koncepcje proces Lean/Agile i jako Zintegrowany Proces Inwestycyjny (</w:t>
            </w:r>
            <w:proofErr w:type="spellStart"/>
            <w:r w:rsidRPr="007428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Integrated</w:t>
            </w:r>
            <w:proofErr w:type="spellEnd"/>
            <w:r w:rsidRPr="007428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 Project Delivery)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. 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BIM dla inwestora, projektanta, wykonawcy, zarządcy,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producenta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, urzędnika</w:t>
            </w:r>
            <w:r w:rsidR="007C109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.</w:t>
            </w:r>
          </w:p>
        </w:tc>
      </w:tr>
      <w:tr w:rsidR="00670DC3">
        <w:tc>
          <w:tcPr>
            <w:tcW w:w="9498" w:type="dxa"/>
            <w:gridSpan w:val="6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17.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Efekty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kształcenia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670DC3" w:rsidRPr="00AB540E" w:rsidTr="007C1099">
        <w:tc>
          <w:tcPr>
            <w:tcW w:w="426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Nr</w:t>
            </w:r>
          </w:p>
        </w:tc>
        <w:tc>
          <w:tcPr>
            <w:tcW w:w="3004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2027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Metoda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sprawdzenia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efektu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kształcenia</w:t>
            </w:r>
            <w:proofErr w:type="spellEnd"/>
          </w:p>
        </w:tc>
        <w:tc>
          <w:tcPr>
            <w:tcW w:w="1773" w:type="dxa"/>
            <w:gridSpan w:val="2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Forma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zajęć</w:t>
            </w:r>
            <w:proofErr w:type="spellEnd"/>
          </w:p>
        </w:tc>
        <w:tc>
          <w:tcPr>
            <w:tcW w:w="226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DB2F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155577" w:rsidRPr="00155577" w:rsidTr="004207AD">
        <w:tc>
          <w:tcPr>
            <w:tcW w:w="426" w:type="dxa"/>
            <w:vAlign w:val="center"/>
          </w:tcPr>
          <w:p w:rsidR="00155577" w:rsidRPr="00DB2FFA" w:rsidRDefault="00155577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004" w:type="dxa"/>
          </w:tcPr>
          <w:p w:rsidR="00155577" w:rsidRPr="00DB2FFA" w:rsidRDefault="00155577" w:rsidP="00155577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2018E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Student zna podstawy technologii BIM, rozumie terminologię, zna obszary zastosowania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027" w:type="dxa"/>
            <w:vAlign w:val="center"/>
          </w:tcPr>
          <w:p w:rsidR="00155577" w:rsidRPr="00DB2FFA" w:rsidRDefault="00155577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773" w:type="dxa"/>
            <w:gridSpan w:val="2"/>
            <w:vAlign w:val="center"/>
          </w:tcPr>
          <w:p w:rsidR="00155577" w:rsidRPr="00DB2FFA" w:rsidRDefault="00155577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155577" w:rsidRPr="00DB2FFA" w:rsidRDefault="00AB540E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</w:t>
            </w:r>
            <w:r w:rsidR="00155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 xml:space="preserve">_W01 </w:t>
            </w:r>
          </w:p>
          <w:p w:rsidR="00155577" w:rsidRPr="00DB2FFA" w:rsidRDefault="00AB540E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</w:t>
            </w:r>
            <w:r w:rsidR="00155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_U01</w:t>
            </w:r>
          </w:p>
        </w:tc>
      </w:tr>
      <w:tr w:rsidR="00155577" w:rsidRPr="00155577" w:rsidTr="004207AD">
        <w:tc>
          <w:tcPr>
            <w:tcW w:w="426" w:type="dxa"/>
            <w:vAlign w:val="center"/>
          </w:tcPr>
          <w:p w:rsidR="00155577" w:rsidRPr="00DB2FFA" w:rsidRDefault="00155577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3004" w:type="dxa"/>
          </w:tcPr>
          <w:p w:rsidR="00155577" w:rsidRPr="00DB2FFA" w:rsidRDefault="00155577" w:rsidP="00155577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2018E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Ma wiedz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ę</w:t>
            </w:r>
            <w:r w:rsidRPr="0092018E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o procesach IPD, pracy współbieżnej, rozumie różnice między CAD i BIM.</w:t>
            </w:r>
          </w:p>
        </w:tc>
        <w:tc>
          <w:tcPr>
            <w:tcW w:w="2027" w:type="dxa"/>
            <w:vAlign w:val="center"/>
          </w:tcPr>
          <w:p w:rsidR="00155577" w:rsidRPr="00DB2FFA" w:rsidRDefault="00155577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773" w:type="dxa"/>
            <w:gridSpan w:val="2"/>
            <w:vAlign w:val="center"/>
          </w:tcPr>
          <w:p w:rsidR="00155577" w:rsidRPr="00DB2FFA" w:rsidRDefault="00155577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155577" w:rsidRDefault="00AB540E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</w:t>
            </w:r>
            <w:r w:rsidR="00155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_W02</w:t>
            </w:r>
          </w:p>
          <w:p w:rsidR="00155577" w:rsidRPr="00DB2FFA" w:rsidRDefault="00AB540E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</w:t>
            </w:r>
            <w:r w:rsidR="00155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_K04</w:t>
            </w:r>
          </w:p>
        </w:tc>
      </w:tr>
      <w:tr w:rsidR="00155577" w:rsidRPr="00155577" w:rsidTr="004207AD">
        <w:tc>
          <w:tcPr>
            <w:tcW w:w="426" w:type="dxa"/>
            <w:vAlign w:val="center"/>
          </w:tcPr>
          <w:p w:rsidR="00155577" w:rsidRPr="00DB2FFA" w:rsidRDefault="00155577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3004" w:type="dxa"/>
          </w:tcPr>
          <w:p w:rsidR="00155577" w:rsidRPr="00DB2FFA" w:rsidRDefault="00155577" w:rsidP="00155577">
            <w:pPr>
              <w:pStyle w:val="Normalny1"/>
              <w:rPr>
                <w:rFonts w:ascii="Times New Roman" w:eastAsia="Times New Roman" w:hAnsi="Times New Roman" w:cs="Times New Roman"/>
                <w:lang w:val="pl-PL"/>
              </w:rPr>
            </w:pPr>
            <w:r w:rsidRPr="0092018E">
              <w:rPr>
                <w:rFonts w:ascii="Times New Roman" w:eastAsia="Times New Roman" w:hAnsi="Times New Roman" w:cs="Times New Roman"/>
                <w:sz w:val="22"/>
                <w:lang w:val="pl-PL"/>
              </w:rPr>
              <w:t xml:space="preserve">Student zna ekosystem oprogramowania BIM, wie jak i do czego można wykorzystać </w:t>
            </w:r>
            <w:r w:rsidRPr="0092018E">
              <w:rPr>
                <w:rFonts w:ascii="Times New Roman" w:eastAsia="Times New Roman" w:hAnsi="Times New Roman" w:cs="Times New Roman"/>
                <w:sz w:val="22"/>
                <w:lang w:val="pl-PL"/>
              </w:rPr>
              <w:lastRenderedPageBreak/>
              <w:t>model BIM w różnych sytuacjach</w:t>
            </w:r>
            <w:r>
              <w:rPr>
                <w:rFonts w:ascii="Times New Roman" w:eastAsia="Times New Roman" w:hAnsi="Times New Roman" w:cs="Times New Roman"/>
                <w:sz w:val="22"/>
                <w:lang w:val="pl-PL"/>
              </w:rPr>
              <w:t>.</w:t>
            </w:r>
          </w:p>
        </w:tc>
        <w:tc>
          <w:tcPr>
            <w:tcW w:w="2027" w:type="dxa"/>
            <w:vAlign w:val="center"/>
          </w:tcPr>
          <w:p w:rsidR="00155577" w:rsidRPr="00DB2FFA" w:rsidRDefault="00155577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lastRenderedPageBreak/>
              <w:t>kolokwium</w:t>
            </w:r>
          </w:p>
        </w:tc>
        <w:tc>
          <w:tcPr>
            <w:tcW w:w="1773" w:type="dxa"/>
            <w:gridSpan w:val="2"/>
            <w:vAlign w:val="center"/>
          </w:tcPr>
          <w:p w:rsidR="00155577" w:rsidRPr="00DB2FFA" w:rsidRDefault="00155577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155577" w:rsidRDefault="00AB540E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</w:t>
            </w:r>
            <w:r w:rsidR="00155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_W06</w:t>
            </w:r>
          </w:p>
          <w:p w:rsidR="00155577" w:rsidRPr="00DB2FFA" w:rsidRDefault="00AB540E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</w:t>
            </w:r>
            <w:r w:rsidR="00155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_U10</w:t>
            </w:r>
          </w:p>
        </w:tc>
      </w:tr>
      <w:tr w:rsidR="00155577" w:rsidRPr="00155577" w:rsidTr="004207AD">
        <w:tc>
          <w:tcPr>
            <w:tcW w:w="426" w:type="dxa"/>
            <w:vAlign w:val="center"/>
          </w:tcPr>
          <w:p w:rsidR="00155577" w:rsidRPr="00DB2FFA" w:rsidRDefault="00155577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lastRenderedPageBreak/>
              <w:t>4</w:t>
            </w:r>
          </w:p>
        </w:tc>
        <w:tc>
          <w:tcPr>
            <w:tcW w:w="3004" w:type="dxa"/>
          </w:tcPr>
          <w:p w:rsidR="00155577" w:rsidRPr="00DB2FFA" w:rsidRDefault="00155577" w:rsidP="00155577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</w:pPr>
            <w:r w:rsidRPr="0092018E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Student zna łańcuch dostaw budownictwa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z</w:t>
            </w:r>
            <w:r w:rsidRPr="0092018E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miejsce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m</w:t>
            </w:r>
            <w:r w:rsidRPr="0092018E"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 xml:space="preserve"> BIM. Zna rolę i znaczenie BIM dla interesariuszy procesu budowlanego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027" w:type="dxa"/>
            <w:vAlign w:val="center"/>
          </w:tcPr>
          <w:p w:rsidR="00155577" w:rsidRPr="00DB2FFA" w:rsidRDefault="00155577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kolokwium</w:t>
            </w:r>
          </w:p>
        </w:tc>
        <w:tc>
          <w:tcPr>
            <w:tcW w:w="1773" w:type="dxa"/>
            <w:gridSpan w:val="2"/>
            <w:vAlign w:val="center"/>
          </w:tcPr>
          <w:p w:rsidR="00155577" w:rsidRPr="00DB2FFA" w:rsidRDefault="00155577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  <w:vAlign w:val="center"/>
          </w:tcPr>
          <w:p w:rsidR="00155577" w:rsidRDefault="00AB540E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</w:t>
            </w:r>
            <w:r w:rsidR="00155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_W07</w:t>
            </w:r>
          </w:p>
          <w:p w:rsidR="00155577" w:rsidRPr="00DB2FFA" w:rsidRDefault="00AB540E" w:rsidP="0015557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SYMIN</w:t>
            </w:r>
            <w:r w:rsidR="0015557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  <w:t>_K02</w:t>
            </w:r>
          </w:p>
        </w:tc>
      </w:tr>
      <w:tr w:rsidR="00C44515" w:rsidRPr="00155577" w:rsidTr="007C1099">
        <w:tc>
          <w:tcPr>
            <w:tcW w:w="426" w:type="dxa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004" w:type="dxa"/>
          </w:tcPr>
          <w:p w:rsidR="00C44515" w:rsidRPr="00DB2FFA" w:rsidRDefault="00C44515" w:rsidP="00C44515">
            <w:pPr>
              <w:pStyle w:val="Normalny1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027" w:type="dxa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gridSpan w:val="2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44515" w:rsidRPr="00155577" w:rsidTr="007C1099">
        <w:tc>
          <w:tcPr>
            <w:tcW w:w="426" w:type="dxa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004" w:type="dxa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27" w:type="dxa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73" w:type="dxa"/>
            <w:gridSpan w:val="2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pl-PL"/>
              </w:rPr>
            </w:pPr>
          </w:p>
        </w:tc>
      </w:tr>
      <w:tr w:rsidR="00C44515">
        <w:tc>
          <w:tcPr>
            <w:tcW w:w="9498" w:type="dxa"/>
            <w:gridSpan w:val="6"/>
          </w:tcPr>
          <w:p w:rsidR="00C44515" w:rsidRPr="00DB2FFA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18. Formy zajęć dydaktycznych i ich wymiar (liczba godzin)</w:t>
            </w:r>
          </w:p>
          <w:p w:rsidR="00C44515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W. 10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. -       L. -      P. -       Sem.  -</w:t>
            </w:r>
          </w:p>
        </w:tc>
      </w:tr>
      <w:tr w:rsidR="00C44515" w:rsidRPr="0074282B">
        <w:tc>
          <w:tcPr>
            <w:tcW w:w="9498" w:type="dxa"/>
            <w:gridSpan w:val="6"/>
          </w:tcPr>
          <w:p w:rsidR="00C44515" w:rsidRPr="0074282B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74282B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19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r w:rsidRPr="0074282B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Treści kształcenia: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ab/>
            </w:r>
          </w:p>
          <w:p w:rsidR="00C44515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W1. 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Wprowadzenie do BIM. Podstawowa terminologia BIM (wymiarowość modeli, poziomy dojrzałości, itp.). BIM a CAD. 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Cechy m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odel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i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BIM. BIM jako proces biznesowy. BIM jako system PLM. BIM jako proces Lean i jako proces IPD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</w:p>
          <w:p w:rsidR="00C44515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W2. 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Zasady tworzenia obiektowego modelu BIM. Obiekty, rodziny obiektów, klasyfikacja obiektów, więzy, relacje, modyfikacja cech obiektu. Semantyczne modele danych. Przegląd oprogramowania BIM, główne linie produktów. </w:t>
            </w:r>
            <w:proofErr w:type="spellStart"/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OpenBIM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Otwarte standardy modeli danych </w:t>
            </w:r>
            <w:proofErr w:type="spellStart"/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OpenBIM</w:t>
            </w:r>
            <w:proofErr w:type="spellEnd"/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 IFC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COBie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BCF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gbXM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 </w:t>
            </w:r>
            <w:proofErr w:type="spellStart"/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LandXML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</w:t>
            </w:r>
          </w:p>
          <w:p w:rsidR="00C44515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W3. 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BIM – nowe narzędzia i nowe procesy. Proces inwestycyjny w branży budowlanej. BIM - poziomy dojrzałości. Współpraca międzybranżowa i praca współbieżna. Procesy komunikacyjne w branży budowlanej. Interoperacyjność oprogramowania/modeli BIM.</w:t>
            </w:r>
          </w:p>
          <w:p w:rsidR="00C44515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W4. 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Organizacja i metodologia pracy zespołów pracujących w BIM. Typy modeli BIM, poziomy rozwoju modelu. </w:t>
            </w:r>
            <w:proofErr w:type="spellStart"/>
            <w:r w:rsidRPr="0074282B">
              <w:rPr>
                <w:rFonts w:ascii="Times New Roman" w:eastAsia="Times New Roman" w:hAnsi="Times New Roman" w:cs="Times New Roman"/>
                <w:color w:val="000000"/>
              </w:rPr>
              <w:t>Specyfikacje</w:t>
            </w:r>
            <w:proofErr w:type="spellEnd"/>
            <w:r w:rsidRPr="0074282B">
              <w:rPr>
                <w:rFonts w:ascii="Times New Roman" w:eastAsia="Times New Roman" w:hAnsi="Times New Roman" w:cs="Times New Roman"/>
                <w:color w:val="000000"/>
              </w:rPr>
              <w:t xml:space="preserve"> LOD/LOI (Level of Detail/Level of Development/Level of Information), </w:t>
            </w:r>
            <w:proofErr w:type="spellStart"/>
            <w:r w:rsidRPr="0074282B">
              <w:rPr>
                <w:rFonts w:ascii="Times New Roman" w:eastAsia="Times New Roman" w:hAnsi="Times New Roman" w:cs="Times New Roman"/>
                <w:color w:val="000000"/>
              </w:rPr>
              <w:t>systemy</w:t>
            </w:r>
            <w:proofErr w:type="spellEnd"/>
            <w:r w:rsidRPr="0074282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282B">
              <w:rPr>
                <w:rFonts w:ascii="Times New Roman" w:eastAsia="Times New Roman" w:hAnsi="Times New Roman" w:cs="Times New Roman"/>
                <w:color w:val="000000"/>
              </w:rPr>
              <w:t>klasyfikacji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C44515" w:rsidRPr="0074282B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5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 xml:space="preserve">. BIM w cyklu życia obiektu. BIM dla interesariuszy procesów budowlanych (inwestor, projektant, wykonawca, zarządca nieruchomości, 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producent</w:t>
            </w:r>
            <w:r w:rsidRPr="0074282B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, urzędnik)</w:t>
            </w:r>
            <w:r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. Zaliczenie</w:t>
            </w:r>
          </w:p>
        </w:tc>
      </w:tr>
      <w:tr w:rsidR="00C44515">
        <w:tc>
          <w:tcPr>
            <w:tcW w:w="9498" w:type="dxa"/>
            <w:gridSpan w:val="6"/>
          </w:tcPr>
          <w:p w:rsidR="00C44515" w:rsidRDefault="00C44515" w:rsidP="00C4451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Egzamin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brak</w:t>
            </w:r>
            <w:proofErr w:type="spellEnd"/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 w:rsidRPr="00AB540E">
        <w:tc>
          <w:tcPr>
            <w:tcW w:w="9498" w:type="dxa"/>
          </w:tcPr>
          <w:p w:rsidR="00670DC3" w:rsidRPr="00155577" w:rsidRDefault="00EC1BA6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1555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21. </w:t>
            </w:r>
            <w:proofErr w:type="spellStart"/>
            <w:r w:rsidRPr="00155577">
              <w:rPr>
                <w:rFonts w:ascii="Times New Roman" w:eastAsia="Times New Roman" w:hAnsi="Times New Roman" w:cs="Times New Roman"/>
                <w:b/>
                <w:color w:val="000000"/>
              </w:rPr>
              <w:t>Literatura</w:t>
            </w:r>
            <w:proofErr w:type="spellEnd"/>
            <w:r w:rsidRPr="0015557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55577">
              <w:rPr>
                <w:rFonts w:ascii="Times New Roman" w:eastAsia="Times New Roman" w:hAnsi="Times New Roman" w:cs="Times New Roman"/>
                <w:b/>
                <w:color w:val="000000"/>
              </w:rPr>
              <w:t>podstawowa</w:t>
            </w:r>
            <w:proofErr w:type="spellEnd"/>
            <w:r w:rsidRPr="00155577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7C1099" w:rsidRDefault="007C1099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</w:rPr>
            </w:pPr>
            <w:r w:rsidRPr="007C1099"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7C1099">
              <w:rPr>
                <w:rFonts w:ascii="Times New Roman" w:eastAsia="Times New Roman" w:hAnsi="Times New Roman" w:cs="Times New Roman"/>
              </w:rPr>
              <w:t>] Eastman</w:t>
            </w:r>
            <w:r>
              <w:rPr>
                <w:rFonts w:ascii="Times New Roman" w:eastAsia="Times New Roman" w:hAnsi="Times New Roman" w:cs="Times New Roman"/>
              </w:rPr>
              <w:t xml:space="preserve"> C.,</w:t>
            </w:r>
            <w:r w:rsidRPr="007C1099">
              <w:rPr>
                <w:rFonts w:ascii="Times New Roman" w:eastAsia="Times New Roman" w:hAnsi="Times New Roman" w:cs="Times New Roman"/>
              </w:rPr>
              <w:t xml:space="preserve"> BIM Handbook, Wi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Pr="007C1099">
              <w:rPr>
                <w:rFonts w:ascii="Times New Roman" w:eastAsia="Times New Roman" w:hAnsi="Times New Roman" w:cs="Times New Roman"/>
              </w:rPr>
              <w:t>ey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C1099">
              <w:rPr>
                <w:rFonts w:ascii="Times New Roman" w:eastAsia="Times New Roman" w:hAnsi="Times New Roman" w:cs="Times New Roman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 w:rsidRPr="007C1099">
              <w:rPr>
                <w:rFonts w:ascii="Times New Roman" w:eastAsia="Times New Roman" w:hAnsi="Times New Roman" w:cs="Times New Roman"/>
              </w:rPr>
              <w:t xml:space="preserve"> York, 2014</w:t>
            </w:r>
          </w:p>
          <w:p w:rsidR="007C1099" w:rsidRDefault="007C1099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[2] Hardin B., BIM and Construction Management, </w:t>
            </w:r>
            <w:r w:rsidRPr="007C1099">
              <w:rPr>
                <w:rFonts w:ascii="Times New Roman" w:eastAsia="Times New Roman" w:hAnsi="Times New Roman" w:cs="Times New Roman"/>
              </w:rPr>
              <w:t>Wi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 w:rsidRPr="007C1099">
              <w:rPr>
                <w:rFonts w:ascii="Times New Roman" w:eastAsia="Times New Roman" w:hAnsi="Times New Roman" w:cs="Times New Roman"/>
              </w:rPr>
              <w:t>ey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C1099">
              <w:rPr>
                <w:rFonts w:ascii="Times New Roman" w:eastAsia="Times New Roman" w:hAnsi="Times New Roman" w:cs="Times New Roman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</w:rPr>
              <w:t>ew</w:t>
            </w:r>
            <w:r w:rsidRPr="007C1099">
              <w:rPr>
                <w:rFonts w:ascii="Times New Roman" w:eastAsia="Times New Roman" w:hAnsi="Times New Roman" w:cs="Times New Roman"/>
              </w:rPr>
              <w:t xml:space="preserve"> York, 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7C1099" w:rsidRPr="007C1099" w:rsidRDefault="007C1099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7C1099">
              <w:rPr>
                <w:rFonts w:ascii="Times New Roman" w:eastAsia="Times New Roman" w:hAnsi="Times New Roman" w:cs="Times New Roman"/>
                <w:lang w:val="pl-PL"/>
              </w:rPr>
              <w:t>[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3</w:t>
            </w:r>
            <w:r w:rsidRPr="007C1099">
              <w:rPr>
                <w:rFonts w:ascii="Times New Roman" w:eastAsia="Times New Roman" w:hAnsi="Times New Roman" w:cs="Times New Roman"/>
                <w:lang w:val="pl-PL"/>
              </w:rPr>
              <w:t>] Kasznia D., Magiera J., W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ierzowiecki P., BIM w praktyce, PWN, Warszawa, 2017</w:t>
            </w:r>
          </w:p>
        </w:tc>
      </w:tr>
      <w:tr w:rsidR="00670DC3">
        <w:tc>
          <w:tcPr>
            <w:tcW w:w="9498" w:type="dxa"/>
          </w:tcPr>
          <w:p w:rsidR="00670DC3" w:rsidRPr="007C1099" w:rsidRDefault="00EC1BA6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7C1099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22. Literatura uzupe</w:t>
            </w:r>
            <w:r w:rsidR="007C1099" w:rsidRPr="007C1099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ł</w:t>
            </w:r>
            <w:r w:rsidRPr="007C1099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>niająca:</w:t>
            </w:r>
          </w:p>
          <w:p w:rsidR="007C1099" w:rsidRPr="007C1099" w:rsidRDefault="007C1099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  <w:lang w:val="pl-PL"/>
              </w:rPr>
            </w:pPr>
            <w:r w:rsidRPr="007C1099">
              <w:rPr>
                <w:rFonts w:ascii="Times New Roman" w:eastAsia="Times New Roman" w:hAnsi="Times New Roman" w:cs="Times New Roman"/>
                <w:lang w:val="pl-PL"/>
              </w:rPr>
              <w:t xml:space="preserve">[1] </w:t>
            </w:r>
            <w:proofErr w:type="spellStart"/>
            <w:r w:rsidRPr="007C1099">
              <w:rPr>
                <w:rFonts w:ascii="Times New Roman" w:eastAsia="Times New Roman" w:hAnsi="Times New Roman" w:cs="Times New Roman"/>
                <w:lang w:val="pl-PL"/>
              </w:rPr>
              <w:t>Autodesk</w:t>
            </w:r>
            <w:proofErr w:type="spellEnd"/>
            <w:r w:rsidRPr="007C1099">
              <w:rPr>
                <w:rFonts w:ascii="Times New Roman" w:eastAsia="Times New Roman" w:hAnsi="Times New Roman" w:cs="Times New Roman"/>
                <w:lang w:val="pl-PL"/>
              </w:rPr>
              <w:t xml:space="preserve">, </w:t>
            </w:r>
            <w:proofErr w:type="spellStart"/>
            <w:r w:rsidRPr="007C1099">
              <w:rPr>
                <w:rFonts w:ascii="Times New Roman" w:eastAsia="Times New Roman" w:hAnsi="Times New Roman" w:cs="Times New Roman"/>
                <w:lang w:val="pl-PL"/>
              </w:rPr>
              <w:t>Revit</w:t>
            </w:r>
            <w:proofErr w:type="spellEnd"/>
            <w:r w:rsidRPr="007C1099">
              <w:rPr>
                <w:rFonts w:ascii="Times New Roman" w:eastAsia="Times New Roman" w:hAnsi="Times New Roman" w:cs="Times New Roman"/>
                <w:lang w:val="pl-PL"/>
              </w:rPr>
              <w:t xml:space="preserve"> 2015, , 2014, dokumentacja on-line</w:t>
            </w:r>
          </w:p>
          <w:p w:rsidR="007C1099" w:rsidRPr="007C1099" w:rsidRDefault="007C1099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</w:rPr>
            </w:pPr>
            <w:r w:rsidRPr="007C1099">
              <w:rPr>
                <w:rFonts w:ascii="Times New Roman" w:eastAsia="Times New Roman" w:hAnsi="Times New Roman" w:cs="Times New Roman"/>
              </w:rPr>
              <w:t xml:space="preserve">[2] Autodesk, </w:t>
            </w:r>
            <w:proofErr w:type="spellStart"/>
            <w:r w:rsidRPr="007C1099">
              <w:rPr>
                <w:rFonts w:ascii="Times New Roman" w:eastAsia="Times New Roman" w:hAnsi="Times New Roman" w:cs="Times New Roman"/>
              </w:rPr>
              <w:t>Navisworks</w:t>
            </w:r>
            <w:proofErr w:type="spellEnd"/>
            <w:r w:rsidRPr="007C1099">
              <w:rPr>
                <w:rFonts w:ascii="Times New Roman" w:eastAsia="Times New Roman" w:hAnsi="Times New Roman" w:cs="Times New Roman"/>
              </w:rPr>
              <w:t xml:space="preserve">, , 2014, </w:t>
            </w:r>
            <w:proofErr w:type="spellStart"/>
            <w:r w:rsidRPr="007C1099">
              <w:rPr>
                <w:rFonts w:ascii="Times New Roman" w:eastAsia="Times New Roman" w:hAnsi="Times New Roman" w:cs="Times New Roman"/>
              </w:rPr>
              <w:t>dokumentacja</w:t>
            </w:r>
            <w:proofErr w:type="spellEnd"/>
            <w:r w:rsidRPr="007C1099">
              <w:rPr>
                <w:rFonts w:ascii="Times New Roman" w:eastAsia="Times New Roman" w:hAnsi="Times New Roman" w:cs="Times New Roman"/>
              </w:rPr>
              <w:t xml:space="preserve"> on-line</w:t>
            </w:r>
          </w:p>
          <w:p w:rsidR="00670DC3" w:rsidRPr="001B21A2" w:rsidRDefault="007C1099" w:rsidP="007C109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Times New Roman" w:eastAsia="Times New Roman" w:hAnsi="Times New Roman" w:cs="Times New Roman"/>
              </w:rPr>
            </w:pPr>
            <w:r w:rsidRPr="007C1099">
              <w:rPr>
                <w:rFonts w:ascii="Times New Roman" w:eastAsia="Times New Roman" w:hAnsi="Times New Roman" w:cs="Times New Roman"/>
              </w:rPr>
              <w:t xml:space="preserve">[3] Autodesk, Vasari, , 2014, </w:t>
            </w:r>
            <w:proofErr w:type="spellStart"/>
            <w:r w:rsidRPr="007C1099">
              <w:rPr>
                <w:rFonts w:ascii="Times New Roman" w:eastAsia="Times New Roman" w:hAnsi="Times New Roman" w:cs="Times New Roman"/>
              </w:rPr>
              <w:t>dokumentacja</w:t>
            </w:r>
            <w:proofErr w:type="spellEnd"/>
            <w:r w:rsidRPr="007C1099">
              <w:rPr>
                <w:rFonts w:ascii="Times New Roman" w:eastAsia="Times New Roman" w:hAnsi="Times New Roman" w:cs="Times New Roman"/>
              </w:rPr>
              <w:t xml:space="preserve"> on-line</w:t>
            </w:r>
          </w:p>
        </w:tc>
      </w:tr>
      <w:tr w:rsidR="00670DC3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AB540E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Forma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>Liczba godzin</w:t>
                  </w:r>
                </w:p>
                <w:p w:rsidR="00670DC3" w:rsidRPr="00DB2FFA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</w:pPr>
                  <w:r w:rsidRPr="00DB2FFA">
                    <w:rPr>
                      <w:rFonts w:ascii="Times New Roman" w:eastAsia="Times New Roman" w:hAnsi="Times New Roman" w:cs="Times New Roman"/>
                      <w:color w:val="000000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10/10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Projekt</w:t>
                  </w:r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Inne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przygotowanie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zajęć</w:t>
                  </w:r>
                  <w:proofErr w:type="spellEnd"/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0 </w:t>
                  </w:r>
                  <w:r w:rsidR="00EC1BA6"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</w:tr>
            <w:tr w:rsidR="00670DC3">
              <w:tc>
                <w:tcPr>
                  <w:tcW w:w="645" w:type="dxa"/>
                </w:tcPr>
                <w:p w:rsidR="00670DC3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044" w:type="dxa"/>
                </w:tcPr>
                <w:p w:rsidR="00670DC3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Suma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 / 25</w:t>
                  </w:r>
                </w:p>
              </w:tc>
            </w:tr>
          </w:tbl>
          <w:p w:rsidR="00670DC3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24. Suma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wszystkich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godzin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Liczba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punktów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ECTS: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</w:t>
            </w:r>
          </w:p>
        </w:tc>
      </w:tr>
      <w:tr w:rsidR="00670DC3" w:rsidRPr="00AB540E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26. Liczba punktów ECTS uzyskanych na zajęciach z bezpośrednim udziałem nauczyciela akademickiego: </w:t>
            </w:r>
            <w:r w:rsid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t xml:space="preserve"> 1</w:t>
            </w:r>
          </w:p>
        </w:tc>
      </w:tr>
      <w:tr w:rsidR="00670DC3" w:rsidRPr="00AB540E">
        <w:tc>
          <w:tcPr>
            <w:tcW w:w="9498" w:type="dxa"/>
          </w:tcPr>
          <w:p w:rsidR="00670DC3" w:rsidRPr="00DB2FFA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DB2FFA">
              <w:rPr>
                <w:rFonts w:ascii="Times New Roman" w:eastAsia="Times New Roman" w:hAnsi="Times New Roman" w:cs="Times New Roman"/>
                <w:b/>
                <w:color w:val="000000"/>
                <w:lang w:val="pl-PL"/>
              </w:rPr>
              <w:lastRenderedPageBreak/>
              <w:t>27. Liczba punktów ECTS uzyskanych na zajęciach o charakterze praktycznym (laboratoria, projekty):</w:t>
            </w:r>
          </w:p>
        </w:tc>
      </w:tr>
      <w:tr w:rsidR="00670DC3">
        <w:tc>
          <w:tcPr>
            <w:tcW w:w="9498" w:type="dxa"/>
          </w:tcPr>
          <w:p w:rsidR="00670DC3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Uwagi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</w:tbl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Zatwierdzono</w:t>
      </w:r>
      <w:proofErr w:type="spellEnd"/>
      <w:r>
        <w:rPr>
          <w:rFonts w:ascii="Times New Roman" w:eastAsia="Times New Roman" w:hAnsi="Times New Roman" w:cs="Times New Roman"/>
          <w:color w:val="000000"/>
        </w:rPr>
        <w:t>:</w:t>
      </w: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Times New Roman" w:eastAsia="Times New Roman" w:hAnsi="Times New Roman" w:cs="Times New Roman"/>
          <w:color w:val="000000"/>
        </w:rPr>
      </w:pPr>
    </w:p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…………………………….</w:t>
      </w:r>
      <w:r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</w:t>
      </w:r>
    </w:p>
    <w:p w:rsidR="00670DC3" w:rsidRPr="00DB2FFA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</w:pP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(data i podpis prowadzącego)</w:t>
      </w:r>
      <w:r w:rsidRPr="00DB2FFA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="005922E6">
        <w:rPr>
          <w:rFonts w:ascii="Times New Roman" w:eastAsia="Times New Roman" w:hAnsi="Times New Roman" w:cs="Times New Roman"/>
          <w:color w:val="000000"/>
          <w:lang w:val="pl-PL"/>
        </w:rPr>
        <w:t xml:space="preserve">    </w:t>
      </w:r>
      <w:r w:rsidRPr="00DB2FFA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(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 xml:space="preserve">data i podpis dyrektora </w:t>
      </w:r>
      <w:r w:rsidR="005922E6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Szkoły Doktorskiej</w:t>
      </w:r>
      <w:r w:rsidRPr="00DB2FFA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pl-PL"/>
        </w:rPr>
        <w:t>)</w:t>
      </w:r>
    </w:p>
    <w:p w:rsidR="00670DC3" w:rsidRPr="00DB2FFA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lang w:val="pl-PL"/>
        </w:rPr>
      </w:pPr>
    </w:p>
    <w:sectPr w:rsidR="00670DC3" w:rsidRPr="00DB2FFA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E3" w:rsidRDefault="000435E3" w:rsidP="00670DC3">
      <w:r>
        <w:separator/>
      </w:r>
    </w:p>
  </w:endnote>
  <w:endnote w:type="continuationSeparator" w:id="0">
    <w:p w:rsidR="000435E3" w:rsidRDefault="000435E3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E3" w:rsidRDefault="000435E3" w:rsidP="00670DC3">
      <w:r>
        <w:separator/>
      </w:r>
    </w:p>
  </w:footnote>
  <w:footnote w:type="continuationSeparator" w:id="0">
    <w:p w:rsidR="000435E3" w:rsidRDefault="000435E3" w:rsidP="00670DC3">
      <w:r>
        <w:continuationSeparator/>
      </w:r>
    </w:p>
  </w:footnote>
  <w:footnote w:id="1">
    <w:p w:rsidR="00670DC3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126" w:hanging="1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należy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>wskazać</w:t>
      </w:r>
      <w:proofErr w:type="spellEnd"/>
      <w:r w:rsidR="001B21A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ok. 4 – 5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efektów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kształcenia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kwqgUA00JIjCwAAAA="/>
  </w:docVars>
  <w:rsids>
    <w:rsidRoot w:val="00670DC3"/>
    <w:rsid w:val="000435E3"/>
    <w:rsid w:val="00155577"/>
    <w:rsid w:val="001B21A2"/>
    <w:rsid w:val="00242D12"/>
    <w:rsid w:val="002D455B"/>
    <w:rsid w:val="00320827"/>
    <w:rsid w:val="004808F0"/>
    <w:rsid w:val="005922E6"/>
    <w:rsid w:val="00670DC3"/>
    <w:rsid w:val="006B1193"/>
    <w:rsid w:val="0074282B"/>
    <w:rsid w:val="0074303D"/>
    <w:rsid w:val="007C1099"/>
    <w:rsid w:val="0092018E"/>
    <w:rsid w:val="00A201F1"/>
    <w:rsid w:val="00AB540E"/>
    <w:rsid w:val="00C44515"/>
    <w:rsid w:val="00DB2FFA"/>
    <w:rsid w:val="00E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6</cp:revision>
  <dcterms:created xsi:type="dcterms:W3CDTF">2018-05-26T08:11:00Z</dcterms:created>
  <dcterms:modified xsi:type="dcterms:W3CDTF">2018-06-25T11:27:00Z</dcterms:modified>
</cp:coreProperties>
</file>