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1983"/>
        <w:gridCol w:w="559"/>
        <w:gridCol w:w="1258"/>
        <w:gridCol w:w="2268"/>
      </w:tblGrid>
      <w:tr w:rsidR="00670DC3" w:rsidTr="001118A6">
        <w:trPr>
          <w:jc w:val="center"/>
        </w:trPr>
        <w:tc>
          <w:tcPr>
            <w:tcW w:w="5972" w:type="dxa"/>
            <w:gridSpan w:val="4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1. Nazwa przedmiotu</w:t>
            </w:r>
            <w:r w:rsidRPr="00DB2F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4E4A4B" w:rsidRPr="004E4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Symulacja procesów budowlanych z użyciem narzędzi VR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5C316D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 w:rsidP="004E4A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</w:t>
            </w:r>
            <w:r w:rsidR="004E4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9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/20</w:t>
            </w:r>
            <w:r w:rsidR="004E4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</w:t>
            </w:r>
          </w:p>
        </w:tc>
      </w:tr>
      <w:tr w:rsidR="00670DC3" w:rsidRPr="005C316D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1118A6" w:rsidTr="001118A6">
        <w:trPr>
          <w:trHeight w:val="340"/>
          <w:jc w:val="center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stacjonarne</w:t>
            </w:r>
          </w:p>
        </w:tc>
      </w:tr>
      <w:tr w:rsidR="00670DC3" w:rsidRPr="005C316D" w:rsidTr="001118A6">
        <w:trPr>
          <w:jc w:val="center"/>
        </w:trPr>
        <w:tc>
          <w:tcPr>
            <w:tcW w:w="9498" w:type="dxa"/>
            <w:gridSpan w:val="6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Interdyscyplinarne studia doktoranckie </w:t>
            </w:r>
            <w:r w:rsidR="004C64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‘</w:t>
            </w:r>
            <w:r w:rsidR="001B21A2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Symulacje w Inżynierii</w:t>
            </w:r>
            <w:r w:rsidR="004C644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’</w:t>
            </w:r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742BF2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Budownictwo</w:t>
            </w:r>
            <w:proofErr w:type="spellEnd"/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5C316D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742BF2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Wydział Budownictwa</w:t>
            </w:r>
            <w:r w:rsidR="004645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</w:t>
            </w:r>
            <w:r w:rsidR="004E4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RB</w:t>
            </w:r>
          </w:p>
        </w:tc>
      </w:tr>
      <w:tr w:rsidR="00670DC3" w:rsidRPr="004E4A4B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 w:rsidP="004E4A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742B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dr hab. inż. </w:t>
            </w:r>
            <w:r w:rsidR="004E4A4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Tomasz Ponikiewski</w:t>
            </w:r>
            <w:r w:rsidR="00742BF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prof. PŚ</w:t>
            </w:r>
          </w:p>
        </w:tc>
      </w:tr>
      <w:tr w:rsidR="00670DC3" w:rsidRPr="005C316D" w:rsidTr="001118A6">
        <w:trPr>
          <w:jc w:val="center"/>
        </w:trPr>
        <w:tc>
          <w:tcPr>
            <w:tcW w:w="9498" w:type="dxa"/>
            <w:gridSpan w:val="6"/>
          </w:tcPr>
          <w:p w:rsidR="00670DC3" w:rsidRPr="001B21A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moduł fakultatywny</w:t>
            </w:r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13. Status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1E252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moduł</w:t>
            </w:r>
            <w:proofErr w:type="spellEnd"/>
            <w:r w:rsidR="001E252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25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specjalistyczny</w:t>
            </w:r>
            <w:proofErr w:type="spellEnd"/>
          </w:p>
        </w:tc>
      </w:tr>
      <w:tr w:rsidR="00670DC3" w:rsidRPr="001118A6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5C316D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</w:p>
          <w:p w:rsidR="00C56F32" w:rsidRPr="00DB2FFA" w:rsidRDefault="004E4A4B" w:rsidP="00157C9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Wiedza z zakresu 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ż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ytkowania systemu MS Windows</w:t>
            </w:r>
            <w:r w:rsidR="00157C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oprogramowania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MS Office, 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CAD</w:t>
            </w:r>
            <w:r w:rsidR="00157C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 pokrewnych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Podstawy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modelowania procesów</w:t>
            </w:r>
            <w:r w:rsidR="00157C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(budownictwo, IT, </w:t>
            </w:r>
            <w:proofErr w:type="spellStart"/>
            <w:r w:rsidR="00157C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etc</w:t>
            </w:r>
            <w:proofErr w:type="spellEnd"/>
            <w:r w:rsidR="00157C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).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Tworzenie logicznych i strukturalnych powiązań organizacyjnych</w:t>
            </w:r>
            <w:r w:rsidR="00157C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Zarządzanie czasem, finansami i zasobami w procesach. </w:t>
            </w:r>
          </w:p>
        </w:tc>
      </w:tr>
      <w:tr w:rsidR="00670DC3" w:rsidRPr="005C316D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</w:p>
          <w:p w:rsidR="004C16C0" w:rsidRPr="00DB2FFA" w:rsidRDefault="000379D9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Umówienie t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echnologi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BIM (</w:t>
            </w:r>
            <w:proofErr w:type="spellStart"/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Building</w:t>
            </w:r>
            <w:proofErr w:type="spellEnd"/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Information Modeling)</w:t>
            </w:r>
            <w:r w:rsidR="00157C9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modelach 4D (projektowanie harmonogramów dostaw i budowy)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5D (analizowanie i projektowanie kosztorysu i budżetu) i 6D (analiza wpływu obiektu na środowisko). </w:t>
            </w:r>
            <w:r w:rsidR="00AE1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Wykłady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obok głównej dyscypliny ‘budownictwo’ zawierają elementy</w:t>
            </w:r>
            <w:r w:rsidR="00AE1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dyscyplin</w:t>
            </w:r>
            <w:r w:rsidR="00AE1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: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‘chemia’, ‘mechanika’, ‘elektronika’, </w:t>
            </w:r>
            <w:r w:rsidR="00AE1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‘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informatyka</w:t>
            </w:r>
            <w:r w:rsidR="00AE1A6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’ i ‘inżynieria materiałowa’</w:t>
            </w:r>
            <w:r w:rsidR="004C16C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</w:p>
          <w:p w:rsidR="00670DC3" w:rsidRPr="00DB2FFA" w:rsidRDefault="000379D9" w:rsidP="000379D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Symulacja procesów w zakresie powyższych dyscyplin i analiza w modelach 4D÷6D z wykorzystaniem narzędzi VR.</w:t>
            </w:r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5C316D" w:rsidTr="005E6440">
        <w:trPr>
          <w:jc w:val="center"/>
        </w:trPr>
        <w:tc>
          <w:tcPr>
            <w:tcW w:w="426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004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983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817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4E4A4B" w:rsidTr="005E6440">
        <w:trPr>
          <w:jc w:val="center"/>
        </w:trPr>
        <w:tc>
          <w:tcPr>
            <w:tcW w:w="426" w:type="dxa"/>
          </w:tcPr>
          <w:p w:rsidR="00670DC3" w:rsidRPr="00DB2FFA" w:rsidRDefault="00633F6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3004" w:type="dxa"/>
          </w:tcPr>
          <w:p w:rsidR="00670DC3" w:rsidRPr="00DB2FFA" w:rsidRDefault="00AE1A6F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Zna p</w:t>
            </w:r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odstawy i założenia technologii BIM (</w:t>
            </w:r>
            <w:proofErr w:type="spellStart"/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Building</w:t>
            </w:r>
            <w:proofErr w:type="spellEnd"/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Information </w:t>
            </w:r>
            <w:proofErr w:type="spellStart"/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Modelling</w:t>
            </w:r>
            <w:proofErr w:type="spellEnd"/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) </w:t>
            </w:r>
            <w:r w:rsidR="004C6443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stosowanej </w:t>
            </w:r>
            <w:r w:rsidRPr="00AE1A6F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w budownictwie</w:t>
            </w:r>
          </w:p>
        </w:tc>
        <w:tc>
          <w:tcPr>
            <w:tcW w:w="1983" w:type="dxa"/>
            <w:vAlign w:val="center"/>
          </w:tcPr>
          <w:p w:rsidR="00670DC3" w:rsidRPr="00DB2FFA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817" w:type="dxa"/>
            <w:gridSpan w:val="2"/>
            <w:vAlign w:val="center"/>
          </w:tcPr>
          <w:p w:rsidR="00670DC3" w:rsidRPr="00DB2FFA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EC1BA6" w:rsidRPr="005E6440" w:rsidRDefault="005C316D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7E57D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W01++</w:t>
            </w:r>
          </w:p>
          <w:p w:rsidR="00D128E4" w:rsidRPr="005E6440" w:rsidRDefault="005C316D" w:rsidP="00D128E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D128E4" w:rsidRPr="005E64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W06+++</w:t>
            </w:r>
          </w:p>
        </w:tc>
      </w:tr>
      <w:tr w:rsidR="00670DC3" w:rsidRPr="004E4A4B" w:rsidTr="005E6440">
        <w:trPr>
          <w:jc w:val="center"/>
        </w:trPr>
        <w:tc>
          <w:tcPr>
            <w:tcW w:w="426" w:type="dxa"/>
          </w:tcPr>
          <w:p w:rsidR="00670DC3" w:rsidRPr="00DB2FFA" w:rsidRDefault="00F352C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3004" w:type="dxa"/>
          </w:tcPr>
          <w:p w:rsidR="00F352CF" w:rsidRPr="00DB2FFA" w:rsidRDefault="00702F95" w:rsidP="002258FC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Zna </w:t>
            </w:r>
            <w:r w:rsid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</w:t>
            </w:r>
            <w:r w:rsidR="002258FC" w:rsidRP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odstawy modelowania procesów (budownictwo, IT, </w:t>
            </w:r>
            <w:proofErr w:type="spellStart"/>
            <w:r w:rsidR="002258FC" w:rsidRP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etc</w:t>
            </w:r>
            <w:proofErr w:type="spellEnd"/>
            <w:r w:rsidR="002258FC" w:rsidRP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).</w:t>
            </w:r>
            <w:r w:rsid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670DC3" w:rsidRPr="00DB2FFA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817" w:type="dxa"/>
            <w:gridSpan w:val="2"/>
            <w:vAlign w:val="center"/>
          </w:tcPr>
          <w:p w:rsidR="00670DC3" w:rsidRPr="00DB2FFA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EC1BA6" w:rsidRPr="005E6440" w:rsidRDefault="005C316D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D128E4" w:rsidRPr="005E64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W04++</w:t>
            </w:r>
          </w:p>
          <w:p w:rsidR="00D128E4" w:rsidRPr="00DB2FFA" w:rsidRDefault="005C316D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D128E4" w:rsidRPr="005E64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W08+++</w:t>
            </w:r>
          </w:p>
        </w:tc>
      </w:tr>
      <w:tr w:rsidR="00670DC3" w:rsidRPr="005C316D" w:rsidTr="005E6440">
        <w:trPr>
          <w:jc w:val="center"/>
        </w:trPr>
        <w:tc>
          <w:tcPr>
            <w:tcW w:w="426" w:type="dxa"/>
          </w:tcPr>
          <w:p w:rsidR="00670DC3" w:rsidRPr="00F352CF" w:rsidRDefault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3004" w:type="dxa"/>
          </w:tcPr>
          <w:p w:rsidR="00670DC3" w:rsidRPr="001118A6" w:rsidRDefault="00F352CF" w:rsidP="002258FC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Potrafi </w:t>
            </w:r>
            <w:r w:rsid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t</w:t>
            </w:r>
            <w:r w:rsidR="002258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worzyć logiczne i strukturalne powiązania </w:t>
            </w:r>
            <w:r w:rsidR="002258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 xml:space="preserve">organizacyjne </w:t>
            </w:r>
          </w:p>
        </w:tc>
        <w:tc>
          <w:tcPr>
            <w:tcW w:w="1983" w:type="dxa"/>
            <w:vAlign w:val="center"/>
          </w:tcPr>
          <w:p w:rsidR="00670DC3" w:rsidRPr="001118A6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kolokwium</w:t>
            </w:r>
          </w:p>
        </w:tc>
        <w:tc>
          <w:tcPr>
            <w:tcW w:w="1817" w:type="dxa"/>
            <w:gridSpan w:val="2"/>
            <w:vAlign w:val="center"/>
          </w:tcPr>
          <w:p w:rsidR="00670DC3" w:rsidRPr="001118A6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1118A6" w:rsidRPr="001118A6" w:rsidRDefault="005C316D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U11+</w:t>
            </w:r>
            <w:r w:rsid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++</w:t>
            </w:r>
          </w:p>
          <w:p w:rsidR="001118A6" w:rsidRPr="001118A6" w:rsidRDefault="005C316D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U07++</w:t>
            </w:r>
          </w:p>
          <w:p w:rsidR="00670DC3" w:rsidRPr="001118A6" w:rsidRDefault="005C316D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U10++</w:t>
            </w:r>
          </w:p>
        </w:tc>
      </w:tr>
      <w:tr w:rsidR="00670DC3" w:rsidRPr="005C316D" w:rsidTr="005E6440">
        <w:trPr>
          <w:jc w:val="center"/>
        </w:trPr>
        <w:tc>
          <w:tcPr>
            <w:tcW w:w="426" w:type="dxa"/>
          </w:tcPr>
          <w:p w:rsidR="00670DC3" w:rsidRPr="00F352CF" w:rsidRDefault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4.</w:t>
            </w:r>
          </w:p>
        </w:tc>
        <w:tc>
          <w:tcPr>
            <w:tcW w:w="3004" w:type="dxa"/>
          </w:tcPr>
          <w:p w:rsidR="00670DC3" w:rsidRPr="00F352CF" w:rsidRDefault="00F352CF" w:rsidP="002258FC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Umie </w:t>
            </w:r>
            <w:r w:rsid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</w:t>
            </w:r>
            <w:r w:rsidR="002258FC" w:rsidRP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arządza</w:t>
            </w:r>
            <w:r w:rsid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ć </w:t>
            </w:r>
            <w:r w:rsidR="002258FC" w:rsidRP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czasem</w:t>
            </w:r>
            <w:r w:rsid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, f</w:t>
            </w:r>
            <w:r w:rsidR="002258FC" w:rsidRP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inansami i zasobami w procesach</w:t>
            </w:r>
            <w:r w:rsidR="002258FC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z użyciem elementów BIM</w:t>
            </w:r>
            <w:r w:rsidR="008F38B8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i VR</w:t>
            </w:r>
          </w:p>
        </w:tc>
        <w:tc>
          <w:tcPr>
            <w:tcW w:w="1983" w:type="dxa"/>
            <w:vAlign w:val="center"/>
          </w:tcPr>
          <w:p w:rsidR="00670DC3" w:rsidRPr="001118A6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817" w:type="dxa"/>
            <w:gridSpan w:val="2"/>
            <w:vAlign w:val="center"/>
          </w:tcPr>
          <w:p w:rsidR="00670DC3" w:rsidRPr="001118A6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1118A6" w:rsidRPr="001118A6" w:rsidRDefault="005C316D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U11+</w:t>
            </w:r>
            <w:r w:rsid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++</w:t>
            </w:r>
          </w:p>
          <w:p w:rsidR="00EC1BA6" w:rsidRPr="001118A6" w:rsidRDefault="005C316D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U07++</w:t>
            </w:r>
          </w:p>
          <w:p w:rsidR="001118A6" w:rsidRPr="001118A6" w:rsidRDefault="005C316D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U10++</w:t>
            </w:r>
          </w:p>
        </w:tc>
      </w:tr>
      <w:tr w:rsidR="00670DC3" w:rsidRPr="001118A6" w:rsidTr="005E6440">
        <w:trPr>
          <w:jc w:val="center"/>
        </w:trPr>
        <w:tc>
          <w:tcPr>
            <w:tcW w:w="426" w:type="dxa"/>
          </w:tcPr>
          <w:p w:rsidR="00670DC3" w:rsidRPr="00F352CF" w:rsidRDefault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3004" w:type="dxa"/>
          </w:tcPr>
          <w:p w:rsidR="00670DC3" w:rsidRPr="001118A6" w:rsidRDefault="001118A6" w:rsidP="00DB2FFA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Potrafi myśleć interdyscyplinarnie w sposób kreatywny implementując wiedzę z różnych dyscyplin w ramach dziedziny nauk technicznych</w:t>
            </w:r>
          </w:p>
        </w:tc>
        <w:tc>
          <w:tcPr>
            <w:tcW w:w="1983" w:type="dxa"/>
            <w:vAlign w:val="center"/>
          </w:tcPr>
          <w:p w:rsidR="00670DC3" w:rsidRPr="00F352CF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817" w:type="dxa"/>
            <w:gridSpan w:val="2"/>
            <w:vAlign w:val="center"/>
          </w:tcPr>
          <w:p w:rsidR="00670DC3" w:rsidRPr="001118A6" w:rsidRDefault="001118A6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EC1BA6" w:rsidRDefault="005C316D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K05</w:t>
            </w:r>
            <w:r w:rsid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+++</w:t>
            </w:r>
          </w:p>
          <w:p w:rsidR="001118A6" w:rsidRPr="001118A6" w:rsidRDefault="005C316D" w:rsidP="001118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SYMIN_</w:t>
            </w:r>
            <w:r w:rsidR="001118A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K02</w:t>
            </w:r>
            <w:r w:rsid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++</w:t>
            </w:r>
          </w:p>
        </w:tc>
      </w:tr>
      <w:tr w:rsidR="00670DC3" w:rsidRPr="001118A6" w:rsidTr="005E6440">
        <w:trPr>
          <w:jc w:val="center"/>
        </w:trPr>
        <w:tc>
          <w:tcPr>
            <w:tcW w:w="426" w:type="dxa"/>
          </w:tcPr>
          <w:p w:rsidR="00670DC3" w:rsidRPr="00F352CF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670DC3" w:rsidRPr="001118A6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3" w:type="dxa"/>
          </w:tcPr>
          <w:p w:rsidR="00670DC3" w:rsidRPr="001118A6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17" w:type="dxa"/>
            <w:gridSpan w:val="2"/>
          </w:tcPr>
          <w:p w:rsidR="00670DC3" w:rsidRPr="001118A6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670DC3" w:rsidRPr="001118A6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-       L. -      P. -       Sem.  </w:t>
            </w:r>
            <w:r w:rsidR="0049749C">
              <w:rPr>
                <w:rFonts w:ascii="Times New Roman" w:eastAsia="Times New Roman" w:hAnsi="Times New Roman" w:cs="Times New Roman"/>
                <w:b/>
                <w:color w:val="000000"/>
              </w:rPr>
              <w:t>–</w:t>
            </w:r>
          </w:p>
          <w:p w:rsidR="0049749C" w:rsidRDefault="0049749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 w:rsidRPr="005C316D" w:rsidTr="001118A6">
        <w:trPr>
          <w:jc w:val="center"/>
        </w:trPr>
        <w:tc>
          <w:tcPr>
            <w:tcW w:w="9498" w:type="dxa"/>
            <w:gridSpan w:val="6"/>
          </w:tcPr>
          <w:p w:rsidR="00D51539" w:rsidRPr="005E6440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</w:pPr>
            <w:r w:rsidRPr="005E6440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19</w:t>
            </w:r>
            <w:r w:rsidRPr="005E6440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Pr="005E6440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Treści kształcenia:</w:t>
            </w:r>
          </w:p>
          <w:p w:rsidR="00670DC3" w:rsidRPr="001118A6" w:rsidRDefault="003F53BC" w:rsidP="00B85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    </w:t>
            </w:r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Podstawy i założenia technologii BIM (</w:t>
            </w:r>
            <w:proofErr w:type="spellStart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Building</w:t>
            </w:r>
            <w:proofErr w:type="spellEnd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Information </w:t>
            </w:r>
            <w:proofErr w:type="spellStart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Modelling</w:t>
            </w:r>
            <w:proofErr w:type="spellEnd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) w budownictwie</w:t>
            </w:r>
            <w:r w:rsidR="00B857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</w:r>
            <w:r w:rsidR="001653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</w:t>
            </w:r>
            <w:r w:rsidR="00B857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1653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dyscyplinach pokrewnych</w:t>
            </w:r>
            <w:r w:rsidR="00B857E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w zakresie Przemysłu 4.0</w:t>
            </w:r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 Poziomy dojrzałości BIM-u (</w:t>
            </w:r>
            <w:proofErr w:type="spellStart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level</w:t>
            </w:r>
            <w:proofErr w:type="spellEnd"/>
            <w:r w:rsidR="00321206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0, 1, 2, 3). Użytkownicy BIM-u</w:t>
            </w:r>
            <w:r w:rsidR="00BD2C99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 ich wzajemne powiązania.</w:t>
            </w:r>
            <w:r w:rsidR="0058102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Poziomy zaawansowania </w:t>
            </w:r>
            <w:r w:rsidR="001B7EB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modeli BIM </w:t>
            </w:r>
            <w:r w:rsidR="0058102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(LOD</w:t>
            </w:r>
            <w:r w:rsidR="001B7EB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1, 2, 3, 4, 5, 6</w:t>
            </w:r>
            <w:r w:rsidR="00581028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)</w:t>
            </w:r>
            <w:r w:rsidR="001B7EB1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oraz ich wielowymiarowość (3D, 4D, 5D, 6D, 7D).</w:t>
            </w:r>
            <w:r w:rsidR="00BD2C99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BIM jako narzędzie do zarządzania całym cyklem życia obiektu budowlanego.</w:t>
            </w:r>
          </w:p>
          <w:p w:rsidR="0028358E" w:rsidRDefault="003F53BC" w:rsidP="00B857E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    </w:t>
            </w:r>
            <w:r w:rsidR="002258F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Struktura produktu i procesu produkcyjnego. Dokumentacja konstrukcyjna, technologiczna oraz organizacyjna z elementami BIM i VR. </w:t>
            </w:r>
            <w:r w:rsidR="00650E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Koncepcje budowy produktu. Struktura procesu produkcyjnego. </w:t>
            </w:r>
            <w:r w:rsidR="00434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Tworzenie logicznych i strukturalnych powiązań organizacyjnych. </w:t>
            </w:r>
            <w:r w:rsidR="00650E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Tworzenie modeli 4D </w:t>
            </w:r>
            <w:r w:rsidR="00434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jako </w:t>
            </w:r>
            <w:r w:rsidR="004349C4" w:rsidRPr="00434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projektowanie harmonogramów dostaw i budowy </w:t>
            </w:r>
            <w:r w:rsidR="00650E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w powiązaniu z procesami produkcyjnymi. </w:t>
            </w:r>
            <w:r w:rsidR="00434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Wybrane normatywy przepływu produkcji, normowanie czasu pracy i określenie pracochłonności. Modelowanie</w:t>
            </w:r>
            <w:r w:rsidR="00434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 xml:space="preserve">i symulacja procesów produkcyjnych z wykorzystaniem narzędzi VR. Tworzenie modeli </w:t>
            </w:r>
            <w:r w:rsidR="004349C4" w:rsidRPr="00434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5D (analizowanie </w:t>
            </w:r>
            <w:r w:rsidR="001653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oraz </w:t>
            </w:r>
            <w:r w:rsidR="004349C4" w:rsidRPr="00434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projektowanie kosztorysu i budżetu)</w:t>
            </w:r>
            <w:r w:rsidR="00434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 Przegląd metod kosztorysowania</w:t>
            </w:r>
            <w:r w:rsidR="00A71E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</w:r>
            <w:r w:rsidR="001653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i przedmiarowania procesów produkcyjnych. Przegląd i analiza baz danych na przykładzie </w:t>
            </w:r>
            <w:proofErr w:type="spellStart"/>
            <w:r w:rsidR="001653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National</w:t>
            </w:r>
            <w:proofErr w:type="spellEnd"/>
            <w:r w:rsidR="001653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BIM Library oraz standard</w:t>
            </w:r>
            <w:r w:rsidR="00DA30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ów i systemów klasyfikacji , na przykładzie </w:t>
            </w:r>
            <w:proofErr w:type="spellStart"/>
            <w:r w:rsidR="00DA30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OmniClass</w:t>
            </w:r>
            <w:proofErr w:type="spellEnd"/>
            <w:r w:rsidR="00DA30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 </w:t>
            </w:r>
            <w:proofErr w:type="spellStart"/>
            <w:r w:rsidR="00DA30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Uniclass</w:t>
            </w:r>
            <w:proofErr w:type="spellEnd"/>
            <w:r w:rsidR="00DA30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="001653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Tworzenie modeli </w:t>
            </w:r>
            <w:r w:rsidR="004349C4" w:rsidRPr="004349C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6D (analiza wpływu obiektu na środowisko)</w:t>
            </w:r>
            <w:r w:rsidR="0016535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z uwzględnieniem wymagań budownictwa zrównoważonego. </w:t>
            </w:r>
            <w:r w:rsidR="00DA30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Analizy i optymalizacje obiektu pod kątem spełnienia postulatów budownictwa zrównoważonego (</w:t>
            </w:r>
            <w:r w:rsid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o</w:t>
            </w:r>
            <w:r w:rsidR="00DA308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graniczenie zużycia energii i zasobów naturalnych, </w:t>
            </w:r>
            <w:r w:rsid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zmniejszenie produkcji odpadów i zanieczyszczeń, stosowanie materiałów ekologicznych, ograniczenie emisji gazów cieplarnianych, pyłów i osadów, itp.). </w:t>
            </w:r>
            <w:r w:rsidR="004974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Koncepcja wdrożenia</w:t>
            </w:r>
            <w:r w:rsidR="00FE207E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technologii BIM </w:t>
            </w:r>
            <w:r w:rsid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z elementami VR </w:t>
            </w:r>
            <w:r w:rsidR="0066702B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do </w:t>
            </w:r>
            <w:r w:rsid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analizy elementów </w:t>
            </w:r>
            <w:r w:rsidR="00A71E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</w:t>
            </w:r>
            <w:r w:rsid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rzemysłu 4.0 i produkcji zrównoważonej. </w:t>
            </w:r>
          </w:p>
          <w:p w:rsidR="00670DC3" w:rsidRPr="00DB2FFA" w:rsidRDefault="00F352CF" w:rsidP="00A71E1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</w:t>
            </w:r>
            <w:r w:rsidR="004F7EE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ierunk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</w:t>
            </w:r>
            <w:r w:rsidR="004F7EE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dalszego rozwoju i</w:t>
            </w:r>
            <w:r w:rsidR="00FF626D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4F7EE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udoskonalania </w:t>
            </w:r>
            <w:r w:rsid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</w:t>
            </w:r>
            <w:r w:rsidR="0028358E" w:rsidRP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ymulacj</w:t>
            </w:r>
            <w:r w:rsid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i </w:t>
            </w:r>
            <w:r w:rsidR="0028358E" w:rsidRP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procesów budowlanych z użyciem narzędzi VR</w:t>
            </w:r>
            <w:r w:rsidR="00A71E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</w:r>
            <w:r w:rsid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w aspekcie </w:t>
            </w:r>
            <w:r w:rsidR="00A71E1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</w:t>
            </w:r>
            <w:r w:rsid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rzemysłu 4.0</w:t>
            </w:r>
            <w:r w:rsidR="004F7EE7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="00FF626D"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670DC3" w:rsidTr="001118A6">
        <w:trPr>
          <w:jc w:val="center"/>
        </w:trPr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  <w:tr w:rsidR="003F53BC" w:rsidTr="001118A6">
        <w:trPr>
          <w:jc w:val="center"/>
        </w:trPr>
        <w:tc>
          <w:tcPr>
            <w:tcW w:w="9498" w:type="dxa"/>
            <w:gridSpan w:val="6"/>
          </w:tcPr>
          <w:p w:rsidR="003F53BC" w:rsidRDefault="003F53B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505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05"/>
      </w:tblGrid>
      <w:tr w:rsidR="00670DC3" w:rsidRPr="0028358E" w:rsidTr="00507D08">
        <w:tc>
          <w:tcPr>
            <w:tcW w:w="9505" w:type="dxa"/>
          </w:tcPr>
          <w:p w:rsidR="00670DC3" w:rsidRPr="00507D08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</w:pPr>
            <w:r w:rsidRPr="00507D08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21. Literatura podstawowa:</w:t>
            </w:r>
          </w:p>
          <w:p w:rsidR="001E252B" w:rsidRPr="001118A6" w:rsidRDefault="001E252B" w:rsidP="0028358E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proofErr w:type="spellStart"/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Kasznia</w:t>
            </w:r>
            <w:proofErr w:type="spellEnd"/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D., Magiera J., </w:t>
            </w:r>
            <w:proofErr w:type="spellStart"/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Wierzowiecki</w:t>
            </w:r>
            <w:proofErr w:type="spellEnd"/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P.: </w:t>
            </w:r>
            <w:r w:rsidR="00D221BC"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B</w:t>
            </w:r>
            <w:r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 xml:space="preserve">IM w praktyce: standardy, wdrożenie, </w:t>
            </w:r>
            <w:proofErr w:type="spellStart"/>
            <w:r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case</w:t>
            </w:r>
            <w:proofErr w:type="spellEnd"/>
            <w:r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D221B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study</w:t>
            </w:r>
            <w:proofErr w:type="spellEnd"/>
            <w:r w:rsidRPr="001118A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PWN, Warszawa 2017, s. 306.</w:t>
            </w:r>
          </w:p>
          <w:p w:rsidR="00670DC3" w:rsidRPr="0028358E" w:rsidRDefault="0028358E" w:rsidP="00976CD9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Hardin B., </w:t>
            </w:r>
            <w:r w:rsidR="00976CD9" w:rsidRPr="00A71E1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en-US"/>
              </w:rPr>
              <w:t>BIM and Construction Management: Proven Tools, Methods, and Workflows</w:t>
            </w:r>
            <w:r w:rsidRPr="002835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, Wiley, New York, 2015</w:t>
            </w:r>
            <w:r w:rsidR="00976C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</w:tr>
      <w:tr w:rsidR="00670DC3" w:rsidRPr="004E4A4B" w:rsidTr="00507D08">
        <w:tc>
          <w:tcPr>
            <w:tcW w:w="9505" w:type="dxa"/>
          </w:tcPr>
          <w:p w:rsidR="00670DC3" w:rsidRPr="00507D08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</w:pPr>
            <w:r w:rsidRPr="00507D08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22. Literatura uzupelniająca:</w:t>
            </w:r>
          </w:p>
          <w:p w:rsidR="00976CD9" w:rsidRDefault="00976CD9" w:rsidP="00976CD9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5C31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Ślęk</w:t>
            </w:r>
            <w:proofErr w:type="spellEnd"/>
            <w:r w:rsidRPr="005C31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R., </w:t>
            </w:r>
            <w:proofErr w:type="spellStart"/>
            <w:r w:rsidRPr="005C31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ArchiCAD</w:t>
            </w:r>
            <w:proofErr w:type="spellEnd"/>
            <w:r w:rsidRPr="005C31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</w:t>
            </w:r>
            <w:r w:rsidRPr="005C316D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Wprowadzenie do projektowania BIM</w:t>
            </w:r>
            <w:r w:rsidRPr="005C316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</w:t>
            </w:r>
            <w:proofErr w:type="spellStart"/>
            <w:r w:rsidRPr="00976C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Wydawnictwo</w:t>
            </w:r>
            <w:proofErr w:type="spellEnd"/>
            <w:r w:rsidRPr="00976C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6C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Helion</w:t>
            </w:r>
            <w:proofErr w:type="spellEnd"/>
            <w:r w:rsidRPr="00976C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, Gliwice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2013, s. 488.</w:t>
            </w:r>
            <w:r w:rsidRPr="00976C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05256D" w:rsidRPr="00976CD9" w:rsidRDefault="00D221BC" w:rsidP="00976CD9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76C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Jeong</w:t>
            </w:r>
            <w:proofErr w:type="spellEnd"/>
            <w:r w:rsidRPr="00976C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, Y.S., et al. </w:t>
            </w:r>
            <w:r w:rsidRPr="00976C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Benchmark tests for BIM data exchanges of precast concrete. </w:t>
            </w:r>
            <w:r w:rsidRPr="0097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Automation in </w:t>
            </w:r>
            <w:r w:rsidRPr="00976CD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construction</w:t>
            </w:r>
            <w:r w:rsidRPr="00976C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2009, 18.4: 469-484.</w:t>
            </w:r>
          </w:p>
          <w:p w:rsidR="00670DC3" w:rsidRDefault="00D221BC" w:rsidP="00976CD9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Zhang, J. P., &amp; Hu, Z. Z. (2011). BIM-and 4D-based integrated solution of analysis and management for conflicts and structural safety problems during construction: 1. Principles and methodologies. </w:t>
            </w:r>
            <w:r w:rsidRPr="00D221BC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>Automation in construction</w:t>
            </w:r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 </w:t>
            </w:r>
            <w:r w:rsidRPr="00D221B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21B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(2), 155-166.</w:t>
            </w:r>
          </w:p>
          <w:p w:rsidR="00147B3F" w:rsidRPr="001118A6" w:rsidRDefault="00147B3F" w:rsidP="00147B3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70DC3" w:rsidTr="00507D08">
        <w:tc>
          <w:tcPr>
            <w:tcW w:w="9505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lastRenderedPageBreak/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5C316D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Forma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 w:rsidTr="00507D08">
        <w:tc>
          <w:tcPr>
            <w:tcW w:w="9505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70DC3" w:rsidTr="00507D08">
        <w:tc>
          <w:tcPr>
            <w:tcW w:w="9505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5C316D" w:rsidTr="00507D08">
        <w:tc>
          <w:tcPr>
            <w:tcW w:w="9505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5C316D" w:rsidTr="00507D08">
        <w:tc>
          <w:tcPr>
            <w:tcW w:w="9505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Tr="00507D08">
        <w:tc>
          <w:tcPr>
            <w:tcW w:w="9505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="005922E6">
        <w:rPr>
          <w:rFonts w:ascii="Times New Roman" w:eastAsia="Times New Roman" w:hAnsi="Times New Roman" w:cs="Times New Roman"/>
          <w:color w:val="000000"/>
          <w:lang w:val="pl-PL"/>
        </w:rPr>
        <w:t xml:space="preserve">    </w:t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</w:t>
      </w:r>
      <w:r w:rsidR="005C316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kierownika studiów doktoranckich</w:t>
      </w:r>
      <w:bookmarkStart w:id="0" w:name="_GoBack"/>
      <w:bookmarkEnd w:id="0"/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05" w:rsidRDefault="00532F05" w:rsidP="00670DC3">
      <w:r>
        <w:separator/>
      </w:r>
    </w:p>
  </w:endnote>
  <w:endnote w:type="continuationSeparator" w:id="0">
    <w:p w:rsidR="00532F05" w:rsidRDefault="00532F05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05" w:rsidRDefault="00532F05" w:rsidP="00670DC3">
      <w:r>
        <w:separator/>
      </w:r>
    </w:p>
  </w:footnote>
  <w:footnote w:type="continuationSeparator" w:id="0">
    <w:p w:rsidR="00532F05" w:rsidRDefault="00532F05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25F"/>
    <w:multiLevelType w:val="hybridMultilevel"/>
    <w:tmpl w:val="86A02680"/>
    <w:lvl w:ilvl="0" w:tplc="A3AEFA82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95AF6"/>
    <w:multiLevelType w:val="hybridMultilevel"/>
    <w:tmpl w:val="449EF3D4"/>
    <w:lvl w:ilvl="0" w:tplc="A3AEFA82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3C5C55"/>
    <w:multiLevelType w:val="hybridMultilevel"/>
    <w:tmpl w:val="D15C58EE"/>
    <w:lvl w:ilvl="0" w:tplc="A3AEFA8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93A5E22"/>
    <w:multiLevelType w:val="hybridMultilevel"/>
    <w:tmpl w:val="F1EA5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34F82"/>
    <w:multiLevelType w:val="hybridMultilevel"/>
    <w:tmpl w:val="EE4EE71A"/>
    <w:lvl w:ilvl="0" w:tplc="A3AEFA82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379D9"/>
    <w:rsid w:val="0005256D"/>
    <w:rsid w:val="00056B35"/>
    <w:rsid w:val="000D691B"/>
    <w:rsid w:val="001118A6"/>
    <w:rsid w:val="00124AB7"/>
    <w:rsid w:val="00137466"/>
    <w:rsid w:val="00147B3F"/>
    <w:rsid w:val="00157C9B"/>
    <w:rsid w:val="0016535D"/>
    <w:rsid w:val="001B21A2"/>
    <w:rsid w:val="001B7EB1"/>
    <w:rsid w:val="001E252B"/>
    <w:rsid w:val="001F4D6F"/>
    <w:rsid w:val="002258FC"/>
    <w:rsid w:val="00242D12"/>
    <w:rsid w:val="0028358E"/>
    <w:rsid w:val="00301689"/>
    <w:rsid w:val="00321206"/>
    <w:rsid w:val="00344297"/>
    <w:rsid w:val="003B4F7A"/>
    <w:rsid w:val="003F53BC"/>
    <w:rsid w:val="004349C4"/>
    <w:rsid w:val="0046453E"/>
    <w:rsid w:val="0047728E"/>
    <w:rsid w:val="004808F0"/>
    <w:rsid w:val="0049749C"/>
    <w:rsid w:val="004B27F3"/>
    <w:rsid w:val="004C16C0"/>
    <w:rsid w:val="004C6443"/>
    <w:rsid w:val="004E4904"/>
    <w:rsid w:val="004E4A4B"/>
    <w:rsid w:val="004F7EE7"/>
    <w:rsid w:val="00507D08"/>
    <w:rsid w:val="00532F05"/>
    <w:rsid w:val="00581028"/>
    <w:rsid w:val="005922E6"/>
    <w:rsid w:val="005C316D"/>
    <w:rsid w:val="005E6440"/>
    <w:rsid w:val="00633F6B"/>
    <w:rsid w:val="00650E38"/>
    <w:rsid w:val="0066702B"/>
    <w:rsid w:val="00670DC3"/>
    <w:rsid w:val="00683E58"/>
    <w:rsid w:val="006D407A"/>
    <w:rsid w:val="00702F95"/>
    <w:rsid w:val="0072341B"/>
    <w:rsid w:val="00742BF2"/>
    <w:rsid w:val="0074303D"/>
    <w:rsid w:val="007550F5"/>
    <w:rsid w:val="007E57DB"/>
    <w:rsid w:val="008F38B8"/>
    <w:rsid w:val="0093130C"/>
    <w:rsid w:val="00976CD9"/>
    <w:rsid w:val="00997358"/>
    <w:rsid w:val="009A4E32"/>
    <w:rsid w:val="00A71E1C"/>
    <w:rsid w:val="00AC1905"/>
    <w:rsid w:val="00AE1A6F"/>
    <w:rsid w:val="00B857EB"/>
    <w:rsid w:val="00BD2C99"/>
    <w:rsid w:val="00BF1C26"/>
    <w:rsid w:val="00C226F1"/>
    <w:rsid w:val="00C56F32"/>
    <w:rsid w:val="00CE02E8"/>
    <w:rsid w:val="00D128E4"/>
    <w:rsid w:val="00D221BC"/>
    <w:rsid w:val="00D51539"/>
    <w:rsid w:val="00D718F1"/>
    <w:rsid w:val="00DA308B"/>
    <w:rsid w:val="00DB2FFA"/>
    <w:rsid w:val="00DB78E6"/>
    <w:rsid w:val="00E95C6A"/>
    <w:rsid w:val="00EA2CAE"/>
    <w:rsid w:val="00EB02A2"/>
    <w:rsid w:val="00EB09C5"/>
    <w:rsid w:val="00EC1BA6"/>
    <w:rsid w:val="00EE77C3"/>
    <w:rsid w:val="00F352CF"/>
    <w:rsid w:val="00F407B6"/>
    <w:rsid w:val="00FE207E"/>
    <w:rsid w:val="00FE7E67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B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5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8FC"/>
  </w:style>
  <w:style w:type="paragraph" w:styleId="Stopka">
    <w:name w:val="footer"/>
    <w:basedOn w:val="Normalny"/>
    <w:link w:val="StopkaZnak"/>
    <w:uiPriority w:val="99"/>
    <w:unhideWhenUsed/>
    <w:rsid w:val="00225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2B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B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5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8FC"/>
  </w:style>
  <w:style w:type="paragraph" w:styleId="Stopka">
    <w:name w:val="footer"/>
    <w:basedOn w:val="Normalny"/>
    <w:link w:val="StopkaZnak"/>
    <w:uiPriority w:val="99"/>
    <w:unhideWhenUsed/>
    <w:rsid w:val="00225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11</cp:revision>
  <dcterms:created xsi:type="dcterms:W3CDTF">2018-05-26T13:15:00Z</dcterms:created>
  <dcterms:modified xsi:type="dcterms:W3CDTF">2018-06-20T22:40:00Z</dcterms:modified>
</cp:coreProperties>
</file>