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34"/>
        <w:gridCol w:w="1988"/>
        <w:gridCol w:w="554"/>
        <w:gridCol w:w="1258"/>
        <w:gridCol w:w="2268"/>
      </w:tblGrid>
      <w:tr w:rsidR="00670DC3" w:rsidRPr="003E6953">
        <w:tc>
          <w:tcPr>
            <w:tcW w:w="5972" w:type="dxa"/>
            <w:gridSpan w:val="4"/>
          </w:tcPr>
          <w:p w:rsidR="00670DC3" w:rsidRPr="003E6953" w:rsidRDefault="00EC1BA6" w:rsidP="008E2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1. Nazwa przedmiotu</w:t>
            </w:r>
            <w:r w:rsidRPr="003E6953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8E22B2" w:rsidRPr="003E6953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Dynamika układów technicznych – MBS (</w:t>
            </w:r>
            <w:proofErr w:type="spellStart"/>
            <w:r w:rsidR="008E22B2" w:rsidRPr="003E6953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MultiBodySystems</w:t>
            </w:r>
            <w:proofErr w:type="spellEnd"/>
            <w:r w:rsidR="008E22B2" w:rsidRPr="003E6953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Pr="003E695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3E6953">
        <w:trPr>
          <w:trHeight w:val="340"/>
        </w:trPr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3E6953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stacjonarne</w:t>
            </w:r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3E6953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Interdyscyplinarne studia doktoranckie Symulacje w Inżynierii</w:t>
            </w:r>
          </w:p>
        </w:tc>
      </w:tr>
      <w:tr w:rsidR="00670DC3" w:rsidRPr="003E6953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8. </w:t>
            </w:r>
            <w:r w:rsidR="001B21A2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Dyscyplina</w:t>
            </w:r>
            <w:r w:rsidRPr="003E6953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3E6953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budowa i eksploatacja maszyn</w:t>
            </w:r>
          </w:p>
        </w:tc>
      </w:tr>
      <w:tr w:rsidR="00670DC3" w:rsidRPr="003E6953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9D654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Instytut Automatyzacji Procesów Technologicznych i Zintegrowanych Systemów Wytwarzania</w:t>
            </w:r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C1BA6" w:rsidP="008E22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8E22B2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prof. dr hab. inż. Jerzy Świder, dr inż. Krzysztof Herbuś</w:t>
            </w:r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moduł </w:t>
            </w:r>
            <w:r w:rsidR="001B21A2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3E6953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3E6953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090CC0">
        <w:tc>
          <w:tcPr>
            <w:tcW w:w="9498" w:type="dxa"/>
            <w:gridSpan w:val="6"/>
          </w:tcPr>
          <w:p w:rsidR="00E64A43" w:rsidRPr="003E695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  <w:p w:rsidR="00670DC3" w:rsidRPr="003E6953" w:rsidRDefault="00E64A43" w:rsidP="003E69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Podstawowa wiedza z zakresu kinematyki i dynamiki ciała sztywnego, podstawy </w:t>
            </w:r>
            <w:r w:rsidR="002A4739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modelowania w systemach klasy CAD/CAE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 podstawowa umiejętność obsługi komputera.</w:t>
            </w:r>
          </w:p>
        </w:tc>
      </w:tr>
      <w:tr w:rsidR="00670DC3" w:rsidRPr="00090CC0">
        <w:tc>
          <w:tcPr>
            <w:tcW w:w="9498" w:type="dxa"/>
            <w:gridSpan w:val="6"/>
          </w:tcPr>
          <w:p w:rsidR="00670DC3" w:rsidRPr="003E6953" w:rsidRDefault="00E64A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16. Cel przedmiotu:</w:t>
            </w:r>
          </w:p>
          <w:p w:rsidR="00670DC3" w:rsidRPr="003E6953" w:rsidRDefault="00E64A43" w:rsidP="003E69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Poznanie zagadnień oraz metod modelowania </w:t>
            </w:r>
            <w:r w:rsidR="002A4739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układów technicznych w systemach klasy CAD/CAE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Nabycie umiejętności </w:t>
            </w:r>
            <w:r w:rsidR="002A4739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modelowania i przygotowania modelu układu wieloczłonowego do jego analizy dynamicznej. Zapis i interpretacja uzyskanych wyników analizy dynamicznej w odniesieniu do wybranych układów technicznych.</w:t>
            </w:r>
          </w:p>
        </w:tc>
      </w:tr>
      <w:tr w:rsidR="00670DC3" w:rsidRPr="003E6953">
        <w:tc>
          <w:tcPr>
            <w:tcW w:w="9498" w:type="dxa"/>
            <w:gridSpan w:val="6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Efekty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090CC0" w:rsidTr="000353D1">
        <w:tc>
          <w:tcPr>
            <w:tcW w:w="496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934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2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081594" w:rsidRPr="003E6953" w:rsidTr="000353D1">
        <w:tc>
          <w:tcPr>
            <w:tcW w:w="496" w:type="dxa"/>
          </w:tcPr>
          <w:p w:rsidR="00081594" w:rsidRPr="003E6953" w:rsidRDefault="00F53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2934" w:type="dxa"/>
          </w:tcPr>
          <w:p w:rsidR="00081594" w:rsidRPr="003E6953" w:rsidRDefault="00081594" w:rsidP="00F53CB2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Ma wiedzę w zakresie metod i narzędzi do symulacji komputerowych </w:t>
            </w:r>
            <w:r w:rsidR="00F53CB2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 obszarze związanym z symulacjami dynamiki układów wieloczłonowych</w:t>
            </w:r>
          </w:p>
        </w:tc>
        <w:tc>
          <w:tcPr>
            <w:tcW w:w="1988" w:type="dxa"/>
          </w:tcPr>
          <w:p w:rsidR="00081594" w:rsidRPr="003E6953" w:rsidRDefault="00F53CB2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Sprawozdanie</w:t>
            </w:r>
          </w:p>
        </w:tc>
        <w:tc>
          <w:tcPr>
            <w:tcW w:w="1812" w:type="dxa"/>
            <w:gridSpan w:val="2"/>
          </w:tcPr>
          <w:p w:rsidR="00081594" w:rsidRPr="003E6953" w:rsidRDefault="00081594" w:rsidP="000353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Wykład </w:t>
            </w:r>
          </w:p>
        </w:tc>
        <w:tc>
          <w:tcPr>
            <w:tcW w:w="2268" w:type="dxa"/>
          </w:tcPr>
          <w:p w:rsidR="00081594" w:rsidRPr="003E6953" w:rsidRDefault="00090CC0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081594" w:rsidRPr="003E6953">
              <w:rPr>
                <w:rFonts w:ascii="Arial" w:hAnsi="Arial" w:cs="Arial"/>
                <w:sz w:val="22"/>
                <w:szCs w:val="22"/>
              </w:rPr>
              <w:t>W08</w:t>
            </w:r>
          </w:p>
        </w:tc>
      </w:tr>
      <w:tr w:rsidR="00081594" w:rsidRPr="003E6953" w:rsidTr="000353D1">
        <w:tc>
          <w:tcPr>
            <w:tcW w:w="496" w:type="dxa"/>
          </w:tcPr>
          <w:p w:rsidR="00081594" w:rsidRPr="003E6953" w:rsidRDefault="00081594" w:rsidP="000815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U1</w:t>
            </w:r>
          </w:p>
        </w:tc>
        <w:tc>
          <w:tcPr>
            <w:tcW w:w="2934" w:type="dxa"/>
          </w:tcPr>
          <w:p w:rsidR="00081594" w:rsidRPr="003E6953" w:rsidRDefault="00081594" w:rsidP="00DB2FFA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Ma umiejętność samodzielnego poszukiwania informacji naukowej</w:t>
            </w:r>
          </w:p>
        </w:tc>
        <w:tc>
          <w:tcPr>
            <w:tcW w:w="1988" w:type="dxa"/>
          </w:tcPr>
          <w:p w:rsidR="00081594" w:rsidRPr="003E6953" w:rsidRDefault="00F53CB2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Sprawozdanie</w:t>
            </w:r>
          </w:p>
        </w:tc>
        <w:tc>
          <w:tcPr>
            <w:tcW w:w="1812" w:type="dxa"/>
            <w:gridSpan w:val="2"/>
          </w:tcPr>
          <w:p w:rsidR="00081594" w:rsidRPr="003E6953" w:rsidRDefault="00081594" w:rsidP="00F53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Zajęcia </w:t>
            </w:r>
            <w:r w:rsidR="00F53CB2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laboratoryjne</w:t>
            </w:r>
          </w:p>
        </w:tc>
        <w:tc>
          <w:tcPr>
            <w:tcW w:w="2268" w:type="dxa"/>
          </w:tcPr>
          <w:p w:rsidR="00081594" w:rsidRPr="003E6953" w:rsidRDefault="00090CC0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081594" w:rsidRPr="003E6953">
              <w:rPr>
                <w:rFonts w:ascii="Arial" w:hAnsi="Arial" w:cs="Arial"/>
                <w:sz w:val="22"/>
                <w:szCs w:val="22"/>
              </w:rPr>
              <w:t>U01</w:t>
            </w:r>
          </w:p>
        </w:tc>
      </w:tr>
      <w:tr w:rsidR="00081594" w:rsidRPr="003E6953" w:rsidTr="000353D1">
        <w:tc>
          <w:tcPr>
            <w:tcW w:w="496" w:type="dxa"/>
          </w:tcPr>
          <w:p w:rsidR="00081594" w:rsidRPr="003E6953" w:rsidRDefault="000815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lastRenderedPageBreak/>
              <w:t>U2</w:t>
            </w:r>
          </w:p>
        </w:tc>
        <w:tc>
          <w:tcPr>
            <w:tcW w:w="2934" w:type="dxa"/>
          </w:tcPr>
          <w:p w:rsidR="00081594" w:rsidRPr="003E6953" w:rsidRDefault="00081594" w:rsidP="00F53CB2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Potrafi rozwijać i wykorzystać techniki symulacji komputerowych do zastosowań w </w:t>
            </w:r>
            <w:r w:rsidR="00F53CB2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symulacji układów technicznych</w:t>
            </w:r>
          </w:p>
        </w:tc>
        <w:tc>
          <w:tcPr>
            <w:tcW w:w="1988" w:type="dxa"/>
          </w:tcPr>
          <w:p w:rsidR="00081594" w:rsidRPr="003E6953" w:rsidRDefault="00F53CB2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Sprawozdanie</w:t>
            </w:r>
          </w:p>
        </w:tc>
        <w:tc>
          <w:tcPr>
            <w:tcW w:w="1812" w:type="dxa"/>
            <w:gridSpan w:val="2"/>
          </w:tcPr>
          <w:p w:rsidR="00081594" w:rsidRPr="003E6953" w:rsidRDefault="00F53CB2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Zajęcia laboratoryjne</w:t>
            </w:r>
          </w:p>
        </w:tc>
        <w:tc>
          <w:tcPr>
            <w:tcW w:w="2268" w:type="dxa"/>
          </w:tcPr>
          <w:p w:rsidR="00081594" w:rsidRPr="003E6953" w:rsidRDefault="00090CC0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081594" w:rsidRPr="003E6953">
              <w:rPr>
                <w:rFonts w:ascii="Arial" w:hAnsi="Arial" w:cs="Arial"/>
                <w:sz w:val="22"/>
                <w:szCs w:val="22"/>
              </w:rPr>
              <w:t>U07</w:t>
            </w:r>
          </w:p>
        </w:tc>
      </w:tr>
      <w:tr w:rsidR="00081594" w:rsidRPr="003E6953" w:rsidTr="000353D1">
        <w:tc>
          <w:tcPr>
            <w:tcW w:w="496" w:type="dxa"/>
          </w:tcPr>
          <w:p w:rsidR="00081594" w:rsidRPr="003E6953" w:rsidRDefault="000815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K1</w:t>
            </w:r>
          </w:p>
        </w:tc>
        <w:tc>
          <w:tcPr>
            <w:tcW w:w="2934" w:type="dxa"/>
          </w:tcPr>
          <w:p w:rsidR="00081594" w:rsidRPr="003E6953" w:rsidRDefault="00081594" w:rsidP="00081594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Potrafi współdziałać i pracować w zespole, przyjmując w niej różne role</w:t>
            </w:r>
          </w:p>
        </w:tc>
        <w:tc>
          <w:tcPr>
            <w:tcW w:w="1988" w:type="dxa"/>
          </w:tcPr>
          <w:p w:rsidR="00081594" w:rsidRPr="003E6953" w:rsidRDefault="00F53CB2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Sprawozdanie</w:t>
            </w:r>
          </w:p>
        </w:tc>
        <w:tc>
          <w:tcPr>
            <w:tcW w:w="1812" w:type="dxa"/>
            <w:gridSpan w:val="2"/>
          </w:tcPr>
          <w:p w:rsidR="00081594" w:rsidRPr="003E6953" w:rsidRDefault="00F53CB2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Zajęcia laboratoryjne</w:t>
            </w:r>
          </w:p>
        </w:tc>
        <w:tc>
          <w:tcPr>
            <w:tcW w:w="2268" w:type="dxa"/>
          </w:tcPr>
          <w:p w:rsidR="00081594" w:rsidRPr="003E6953" w:rsidRDefault="00090CC0" w:rsidP="0065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081594" w:rsidRPr="003E6953">
              <w:rPr>
                <w:rFonts w:ascii="Arial" w:hAnsi="Arial" w:cs="Arial"/>
                <w:sz w:val="22"/>
                <w:szCs w:val="22"/>
              </w:rPr>
              <w:t>K03</w:t>
            </w:r>
          </w:p>
        </w:tc>
      </w:tr>
      <w:tr w:rsidR="00081594" w:rsidRPr="003E6953">
        <w:tc>
          <w:tcPr>
            <w:tcW w:w="9498" w:type="dxa"/>
            <w:gridSpan w:val="6"/>
          </w:tcPr>
          <w:p w:rsidR="00081594" w:rsidRPr="003E6953" w:rsidRDefault="000815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081594" w:rsidRPr="003E6953" w:rsidRDefault="00081594" w:rsidP="000353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</w:t>
            </w:r>
            <w:r w:rsidR="009724CF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W. </w:t>
            </w:r>
            <w:r w:rsidR="000353D1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</w:t>
            </w:r>
            <w:r w:rsidR="009724CF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Ćw. -       L. </w:t>
            </w:r>
            <w:r w:rsidR="000353D1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8</w:t>
            </w: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P. -      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Sem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.  -</w:t>
            </w:r>
          </w:p>
        </w:tc>
      </w:tr>
      <w:tr w:rsidR="00081594" w:rsidRPr="00090CC0">
        <w:tc>
          <w:tcPr>
            <w:tcW w:w="9498" w:type="dxa"/>
            <w:gridSpan w:val="6"/>
          </w:tcPr>
          <w:p w:rsidR="00081594" w:rsidRPr="003E6953" w:rsidRDefault="000815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19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ab/>
            </w:r>
          </w:p>
          <w:p w:rsidR="00081594" w:rsidRPr="003E6953" w:rsidRDefault="00344123" w:rsidP="005218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Zasady prawidłowego przygotowania modelu układu wieloczłonowego do analizy dynamicznej w programach klasy CAD/CAE. </w:t>
            </w:r>
            <w:r w:rsidR="00081594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Modelowanie postaci geometrycznej członów układu 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technicznego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</w:t>
            </w:r>
            <w:r w:rsidR="00081594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Modelowanie 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własności fizycznych pojedynczych członów</w:t>
            </w:r>
            <w:r w:rsidR="00B22604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Rodzaje więzów i zasady ich stosowania do analizy dynamicznej układów </w:t>
            </w:r>
            <w:r w:rsidR="00EB5EA9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wieloczłonowych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Odwzorowywanie sposobu działania układu technicznego. </w:t>
            </w:r>
            <w:r w:rsidR="00C721A5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Modelowanie tarcia pomiędzy współpracującymi członami. Charakterystyka parametrów kontaktu oddziaływujących na siebie członów układu.   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Modelowanie wymuszeń </w:t>
            </w:r>
            <w:r w:rsidR="006C7A54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działających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EB5EA9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na przyjęty układ wieloczłonowy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 postaci</w:t>
            </w:r>
            <w:r w:rsidR="00EB5EA9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: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sił</w:t>
            </w:r>
            <w:r w:rsidR="00C721A5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 momentów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sił, prędkości i przemieszcze</w:t>
            </w:r>
            <w:r w:rsidR="00C721A5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ń</w:t>
            </w:r>
            <w:r w:rsidR="002E7791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</w:t>
            </w:r>
            <w:r w:rsidR="00F27D9E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Analiza drzewa struktury modelu układu wieloczłonowego w przyjętym środowisku symulacyjnym.</w:t>
            </w:r>
            <w:r w:rsidR="00AA1D5A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F27D9E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Opis parametrów środowiska symulacyjnego. </w:t>
            </w:r>
            <w:r w:rsidR="00AA1D5A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Analiza układów technicznych charakteryzujących </w:t>
            </w:r>
            <w:r w:rsidR="00263EF9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się </w:t>
            </w:r>
            <w:r w:rsidR="00AA1D5A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otwartą</w:t>
            </w:r>
            <w:r w:rsidR="00B22604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i zamkniętą</w:t>
            </w:r>
            <w:r w:rsidR="00AA1D5A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strukturą łańcucha kinematycznego. </w:t>
            </w:r>
            <w:r w:rsidR="00C721A5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Analiza wyników przeprowadzonej symulacji komputerowej. Analiza przemieszczeń, prędkości i przyspieszeń członów układu technicznego. Analiza zakresu ruchu układu. Analiza sił występujących pomiędzy członami układu</w:t>
            </w:r>
            <w:r w:rsidR="00B3321A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Analiza kolizyjności. </w:t>
            </w:r>
            <w:r w:rsidR="00BC1043"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Zapis wartości szukanych wielkości fizycznych w odniesieniu do dynamicznej analizy modeli układów technicznych.</w:t>
            </w:r>
          </w:p>
        </w:tc>
      </w:tr>
      <w:tr w:rsidR="00081594" w:rsidRPr="003E6953">
        <w:tc>
          <w:tcPr>
            <w:tcW w:w="9498" w:type="dxa"/>
            <w:gridSpan w:val="6"/>
          </w:tcPr>
          <w:p w:rsidR="00081594" w:rsidRPr="003E6953" w:rsidRDefault="000815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20. Egzamin: 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brak</w:t>
            </w:r>
          </w:p>
        </w:tc>
      </w:tr>
    </w:tbl>
    <w:p w:rsidR="00670DC3" w:rsidRPr="003E695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9547BE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21. Literatura podstawowa:</w:t>
            </w:r>
          </w:p>
          <w:p w:rsidR="00670DC3" w:rsidRPr="003E6953" w:rsidRDefault="002076D3" w:rsidP="003E69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Pacana J.: 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Parametryczne projektowanie CAD z wykorzystaniem systemu </w:t>
            </w:r>
            <w:proofErr w:type="spellStart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Unigraphics</w:t>
            </w:r>
            <w:proofErr w:type="spellEnd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NX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.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Oficyna Wydaw. Politechniki Rzeszowskiej, 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Rzeszów 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2005.</w:t>
            </w:r>
          </w:p>
          <w:p w:rsidR="00D35FC9" w:rsidRPr="003E6953" w:rsidRDefault="002076D3" w:rsidP="003E69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Mazur D., Rudy M.: Modelowanie w systemie NX CAD.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Oficyna Wydawnicza Politechniki Rzeszowskiej, 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Rzeszów 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2016.</w:t>
            </w:r>
          </w:p>
          <w:p w:rsidR="00D35FC9" w:rsidRPr="003E6953" w:rsidRDefault="002076D3" w:rsidP="003E69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Anderl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R., </w:t>
            </w: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Binde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P.: </w:t>
            </w:r>
            <w:proofErr w:type="spellStart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Simulationen</w:t>
            </w:r>
            <w:proofErr w:type="spellEnd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mit</w:t>
            </w:r>
            <w:proofErr w:type="spellEnd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Unigraphic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NX 4 : </w:t>
            </w: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Kinematik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, FEM und CFD.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Carl </w:t>
            </w:r>
            <w:proofErr w:type="spellStart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Hanser</w:t>
            </w:r>
            <w:proofErr w:type="spellEnd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Munchen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2006.</w:t>
            </w:r>
          </w:p>
          <w:p w:rsidR="00D35FC9" w:rsidRPr="003E6953" w:rsidRDefault="002076D3" w:rsidP="003E69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Shabana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Ahmed A.: Dynamics of multibody systems. 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Cambridge University Press, 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Cambridge </w:t>
            </w:r>
            <w:r w:rsidR="00D35FC9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2008.</w:t>
            </w:r>
          </w:p>
          <w:p w:rsidR="009547BE" w:rsidRDefault="002076D3" w:rsidP="009547B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Amirouche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F.: </w:t>
            </w:r>
            <w:r w:rsidR="00E2052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Fundamentals of multibody dynamics : theory and applications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E2052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Birkhauser</w:t>
            </w:r>
            <w:proofErr w:type="spellEnd"/>
            <w:r w:rsidR="00E2052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cop. 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Boston </w:t>
            </w:r>
            <w:r w:rsidR="00E2052E" w:rsidRPr="003E6953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2006.</w:t>
            </w:r>
          </w:p>
          <w:p w:rsidR="009547BE" w:rsidRDefault="009547BE" w:rsidP="009547B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</w:rPr>
            </w:pPr>
            <w:r w:rsidRPr="009547BE">
              <w:rPr>
                <w:rFonts w:ascii="Arial" w:eastAsia="Times New Roman" w:hAnsi="Arial" w:cs="Arial"/>
                <w:sz w:val="22"/>
                <w:szCs w:val="22"/>
              </w:rPr>
              <w:t xml:space="preserve">Hahn H.: Rigid Body Dynamics of Mechanisms : Theoretical Basis.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Springer 2002.</w:t>
            </w:r>
          </w:p>
          <w:p w:rsidR="009547BE" w:rsidRPr="009547BE" w:rsidRDefault="002076D3" w:rsidP="009547B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</w:rPr>
            </w:pPr>
            <w:r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Lipiński K.: </w:t>
            </w:r>
            <w:r w:rsidR="007E0C0E"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Układy wieloczłonowe z więzami jednostronnymi w zastosowaniu do modelowania </w:t>
            </w:r>
            <w:r w:rsidR="001C7116"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złożonych układów mechanicznych. </w:t>
            </w:r>
            <w:r w:rsidR="007E0C0E"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Wydawnictwo Politechniki Gdańskiej, </w:t>
            </w:r>
            <w:r w:rsidR="001C7116"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Gdańsk </w:t>
            </w:r>
            <w:r w:rsidR="007E0C0E"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2012.</w:t>
            </w:r>
          </w:p>
          <w:p w:rsidR="007E0C0E" w:rsidRPr="009547BE" w:rsidRDefault="001C7116" w:rsidP="009547B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Wojtyra</w:t>
            </w:r>
            <w:proofErr w:type="spellEnd"/>
            <w:r w:rsidRPr="009547B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M., Frączek J.: Metoda układów wieloczłonowych w dynamice mechanizmów. Oficyna Wydawnicza Politechniki Warszawskiej, Warszawa 2007.</w:t>
            </w:r>
          </w:p>
        </w:tc>
      </w:tr>
      <w:tr w:rsidR="00670DC3" w:rsidRPr="003E6953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22. Literatura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uzupelniająca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670DC3" w:rsidRPr="003E6953" w:rsidRDefault="001C7116" w:rsidP="003E69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Gattringer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H., </w:t>
            </w: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Gerstmayr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J.: </w:t>
            </w:r>
            <w:r w:rsidR="00E2052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Multibody system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dynamics, robotics and control. </w:t>
            </w:r>
            <w:r w:rsidR="00E2052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Springer, cop. 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Wien </w:t>
            </w:r>
            <w:r w:rsidR="00E2052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2013.</w:t>
            </w:r>
          </w:p>
          <w:p w:rsidR="00E2052E" w:rsidRPr="003E6953" w:rsidRDefault="005F64BA" w:rsidP="003E69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Géradin</w:t>
            </w:r>
            <w:proofErr w:type="spellEnd"/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M. Cardona A.: </w:t>
            </w:r>
            <w:r w:rsidR="007E0C0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Flexible multibody dynamics : a finite element approach</w:t>
            </w:r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E0C0E"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John Wiley &amp; Sons, cop. 2001.</w:t>
            </w:r>
          </w:p>
          <w:p w:rsidR="00D60410" w:rsidRPr="003E6953" w:rsidRDefault="00EB1015" w:rsidP="003E69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left="714" w:hanging="357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E695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PLM Siemens NX online documentation https://support.industrysoftware.automation.siemens.com/general/documentation.shtml</w:t>
            </w:r>
          </w:p>
        </w:tc>
      </w:tr>
      <w:tr w:rsidR="00670DC3" w:rsidRPr="003E6953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090CC0">
              <w:tc>
                <w:tcPr>
                  <w:tcW w:w="6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3E6953">
              <w:tc>
                <w:tcPr>
                  <w:tcW w:w="6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3E6953" w:rsidRDefault="007C018F" w:rsidP="007C018F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2/2</w:t>
                  </w:r>
                </w:p>
              </w:tc>
            </w:tr>
            <w:tr w:rsidR="00670DC3" w:rsidRPr="003E6953">
              <w:tc>
                <w:tcPr>
                  <w:tcW w:w="6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3E6953">
              <w:tc>
                <w:tcPr>
                  <w:tcW w:w="6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3E6953" w:rsidRDefault="007C018F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8</w:t>
                  </w:r>
                  <w:r w:rsidR="00EC1BA6"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670DC3" w:rsidRPr="003E6953">
              <w:tc>
                <w:tcPr>
                  <w:tcW w:w="6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3E6953">
              <w:tc>
                <w:tcPr>
                  <w:tcW w:w="6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3E6953">
              <w:tc>
                <w:tcPr>
                  <w:tcW w:w="645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3E695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3E695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670DC3" w:rsidRPr="003E6953">
              <w:tc>
                <w:tcPr>
                  <w:tcW w:w="645" w:type="dxa"/>
                </w:tcPr>
                <w:p w:rsidR="00670DC3" w:rsidRPr="003E695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3E695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3E695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E69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:rsidR="00670DC3" w:rsidRPr="003E695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3E6953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3E6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70DC3" w:rsidRPr="003E6953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670DC3" w:rsidRPr="00090CC0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26. Liczba punktów ECTS uzyskanych na zajęciach z bezpośrednim udziałem nauczyciela akademickiego: </w:t>
            </w:r>
            <w:r w:rsidR="00DB2FFA"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</w:p>
        </w:tc>
      </w:tr>
      <w:tr w:rsidR="00670DC3" w:rsidRPr="00090CC0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3E6953">
        <w:tc>
          <w:tcPr>
            <w:tcW w:w="9498" w:type="dxa"/>
          </w:tcPr>
          <w:p w:rsidR="00670DC3" w:rsidRPr="003E695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3E6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bookmarkStart w:id="0" w:name="_GoBack"/>
      <w:bookmarkEnd w:id="0"/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dyrektora </w:t>
      </w:r>
      <w:r w:rsidR="005922E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Szkoły Doktorskiej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69" w:rsidRDefault="00EA7469" w:rsidP="00670DC3">
      <w:r>
        <w:separator/>
      </w:r>
    </w:p>
  </w:endnote>
  <w:endnote w:type="continuationSeparator" w:id="0">
    <w:p w:rsidR="00EA7469" w:rsidRDefault="00EA7469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69" w:rsidRDefault="00EA7469" w:rsidP="00670DC3">
      <w:r>
        <w:separator/>
      </w:r>
    </w:p>
  </w:footnote>
  <w:footnote w:type="continuationSeparator" w:id="0">
    <w:p w:rsidR="00EA7469" w:rsidRDefault="00EA7469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CC5"/>
    <w:multiLevelType w:val="hybridMultilevel"/>
    <w:tmpl w:val="5B0C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D6C54"/>
    <w:multiLevelType w:val="hybridMultilevel"/>
    <w:tmpl w:val="492C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EE73E37"/>
    <w:multiLevelType w:val="hybridMultilevel"/>
    <w:tmpl w:val="5B0C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353D1"/>
    <w:rsid w:val="00081594"/>
    <w:rsid w:val="00090CC0"/>
    <w:rsid w:val="000D36C5"/>
    <w:rsid w:val="0017485A"/>
    <w:rsid w:val="001B21A2"/>
    <w:rsid w:val="001C7116"/>
    <w:rsid w:val="002076D3"/>
    <w:rsid w:val="00242D12"/>
    <w:rsid w:val="00263EF9"/>
    <w:rsid w:val="002A4206"/>
    <w:rsid w:val="002A4739"/>
    <w:rsid w:val="002E7791"/>
    <w:rsid w:val="00344123"/>
    <w:rsid w:val="003E6953"/>
    <w:rsid w:val="00461B45"/>
    <w:rsid w:val="00470027"/>
    <w:rsid w:val="004808F0"/>
    <w:rsid w:val="004D7AE4"/>
    <w:rsid w:val="00521861"/>
    <w:rsid w:val="005922E6"/>
    <w:rsid w:val="00594DF8"/>
    <w:rsid w:val="005F64BA"/>
    <w:rsid w:val="006140C9"/>
    <w:rsid w:val="00670DC3"/>
    <w:rsid w:val="006B012D"/>
    <w:rsid w:val="006C7A54"/>
    <w:rsid w:val="0074303D"/>
    <w:rsid w:val="007C018F"/>
    <w:rsid w:val="007E0C0E"/>
    <w:rsid w:val="008E22B2"/>
    <w:rsid w:val="00916A28"/>
    <w:rsid w:val="009547BE"/>
    <w:rsid w:val="009724CF"/>
    <w:rsid w:val="009D654A"/>
    <w:rsid w:val="009F5AE7"/>
    <w:rsid w:val="00AA1D5A"/>
    <w:rsid w:val="00AE0C41"/>
    <w:rsid w:val="00B22604"/>
    <w:rsid w:val="00B3321A"/>
    <w:rsid w:val="00BC1043"/>
    <w:rsid w:val="00C721A5"/>
    <w:rsid w:val="00CC3D53"/>
    <w:rsid w:val="00D0490A"/>
    <w:rsid w:val="00D35FC9"/>
    <w:rsid w:val="00D60410"/>
    <w:rsid w:val="00D962C6"/>
    <w:rsid w:val="00DB1A62"/>
    <w:rsid w:val="00DB2FFA"/>
    <w:rsid w:val="00DE6414"/>
    <w:rsid w:val="00E2052E"/>
    <w:rsid w:val="00E64A43"/>
    <w:rsid w:val="00E806BC"/>
    <w:rsid w:val="00EA7469"/>
    <w:rsid w:val="00EB1015"/>
    <w:rsid w:val="00EB5EA9"/>
    <w:rsid w:val="00EC1BA6"/>
    <w:rsid w:val="00F27D9E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0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7</cp:revision>
  <dcterms:created xsi:type="dcterms:W3CDTF">2018-05-28T11:25:00Z</dcterms:created>
  <dcterms:modified xsi:type="dcterms:W3CDTF">2018-06-20T22:30:00Z</dcterms:modified>
</cp:coreProperties>
</file>