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FFB92" w14:textId="77777777" w:rsidR="00583CA4" w:rsidRDefault="00583CA4" w:rsidP="00BF1BF8">
      <w:pPr>
        <w:pStyle w:val="Nagwek1"/>
        <w:tabs>
          <w:tab w:val="left" w:pos="567"/>
        </w:tabs>
      </w:pPr>
    </w:p>
    <w:p w14:paraId="5922FC4F" w14:textId="77777777" w:rsidR="00583CA4" w:rsidRDefault="00583CA4" w:rsidP="00BF1BF8">
      <w:pPr>
        <w:pStyle w:val="Nagwek1"/>
        <w:tabs>
          <w:tab w:val="left" w:pos="567"/>
        </w:tabs>
      </w:pPr>
    </w:p>
    <w:p w14:paraId="2E364E99" w14:textId="77777777" w:rsidR="00583CA4" w:rsidRDefault="00583CA4" w:rsidP="00BF1BF8">
      <w:pPr>
        <w:pStyle w:val="Nagwek1"/>
        <w:tabs>
          <w:tab w:val="left" w:pos="567"/>
        </w:tabs>
      </w:pPr>
    </w:p>
    <w:p w14:paraId="74720CA2" w14:textId="77777777" w:rsidR="00583CA4" w:rsidRDefault="00583CA4" w:rsidP="00BF1BF8">
      <w:pPr>
        <w:pStyle w:val="Nagwek1"/>
        <w:tabs>
          <w:tab w:val="left" w:pos="567"/>
        </w:tabs>
      </w:pPr>
    </w:p>
    <w:p w14:paraId="565BA6E0" w14:textId="77777777" w:rsidR="00583CA4" w:rsidRDefault="00583CA4" w:rsidP="00BF1BF8">
      <w:pPr>
        <w:pStyle w:val="Nagwek1"/>
        <w:tabs>
          <w:tab w:val="left" w:pos="567"/>
        </w:tabs>
      </w:pPr>
    </w:p>
    <w:p w14:paraId="151DBB51" w14:textId="77777777" w:rsidR="00583CA4" w:rsidRDefault="00583CA4" w:rsidP="00BF1BF8">
      <w:pPr>
        <w:pStyle w:val="Nagwek1"/>
        <w:tabs>
          <w:tab w:val="left" w:pos="567"/>
        </w:tabs>
      </w:pPr>
    </w:p>
    <w:p w14:paraId="30A7C108" w14:textId="77777777" w:rsidR="00583CA4" w:rsidRDefault="00583CA4" w:rsidP="00BF1BF8">
      <w:pPr>
        <w:pStyle w:val="Nagwek1"/>
        <w:tabs>
          <w:tab w:val="left" w:pos="567"/>
        </w:tabs>
      </w:pPr>
    </w:p>
    <w:p w14:paraId="2EA528FF" w14:textId="77777777" w:rsidR="00583CA4" w:rsidRDefault="00583CA4" w:rsidP="00F4387C">
      <w:pPr>
        <w:pStyle w:val="Nagwek1"/>
        <w:tabs>
          <w:tab w:val="left" w:pos="567"/>
        </w:tabs>
        <w:ind w:left="0" w:firstLine="0"/>
        <w:jc w:val="center"/>
      </w:pPr>
      <w:r>
        <w:t>P-RAu-3</w:t>
      </w:r>
    </w:p>
    <w:p w14:paraId="1122975B" w14:textId="77777777" w:rsidR="00583CA4" w:rsidRDefault="00583CA4" w:rsidP="00F4387C">
      <w:pPr>
        <w:pStyle w:val="Nagwek1"/>
        <w:tabs>
          <w:tab w:val="left" w:pos="567"/>
        </w:tabs>
        <w:jc w:val="center"/>
      </w:pPr>
      <w:r>
        <w:t>ROZPATRYWANIE PODAŃ DO DZIEKANA</w:t>
      </w:r>
    </w:p>
    <w:p w14:paraId="771533EE" w14:textId="77777777" w:rsidR="00583CA4" w:rsidRPr="005557A2" w:rsidRDefault="00EA0DC9" w:rsidP="00CB6769">
      <w:pPr>
        <w:pStyle w:val="Procedury-poziom1"/>
      </w:pPr>
      <w:r>
        <w:br w:type="page"/>
      </w:r>
      <w:r w:rsidR="00583CA4" w:rsidRPr="005557A2">
        <w:lastRenderedPageBreak/>
        <w:t>1. Zakres procedury</w:t>
      </w:r>
    </w:p>
    <w:p w14:paraId="0376224F" w14:textId="77777777" w:rsidR="00583CA4" w:rsidRDefault="00583CA4" w:rsidP="003B5AC2">
      <w:pPr>
        <w:pStyle w:val="KJK-akapitnormalny"/>
      </w:pPr>
      <w:r>
        <w:t>Procedura określa tryb składania i rozpatrywania podań kierowanych przez studentów do Dziekana i Prodziekanów. Wzory podań dołączone są do niniejszej procedury jako druki.</w:t>
      </w:r>
    </w:p>
    <w:p w14:paraId="660ED317" w14:textId="77777777" w:rsidR="00583CA4" w:rsidRPr="005557A2" w:rsidRDefault="00583CA4" w:rsidP="00CB6769">
      <w:pPr>
        <w:pStyle w:val="Procedury-poziom1"/>
      </w:pPr>
      <w:r w:rsidRPr="005557A2">
        <w:t>2. Osoby odpowiedzialne</w:t>
      </w:r>
    </w:p>
    <w:p w14:paraId="61C50181" w14:textId="77777777" w:rsidR="00583CA4" w:rsidRDefault="00583CA4" w:rsidP="003B5AC2">
      <w:pPr>
        <w:pStyle w:val="KJK-akapitnormalny"/>
      </w:pPr>
      <w:r>
        <w:t xml:space="preserve">Dziekan i Prodziekani, zgodnie z zakresem kompetencji określonym w </w:t>
      </w:r>
      <w:r w:rsidRPr="00BF1BF8">
        <w:rPr>
          <w:rStyle w:val="Wyrnieniedelikatne"/>
          <w:iCs/>
        </w:rPr>
        <w:t xml:space="preserve">Statucie </w:t>
      </w:r>
      <w:r w:rsidR="00EE681E">
        <w:rPr>
          <w:rStyle w:val="Wyrnieniedelikatne"/>
          <w:iCs/>
        </w:rPr>
        <w:t>Politechniki Śląskiej</w:t>
      </w:r>
      <w:r>
        <w:t>.</w:t>
      </w:r>
    </w:p>
    <w:p w14:paraId="5DD79E22" w14:textId="77777777" w:rsidR="00583CA4" w:rsidRPr="005557A2" w:rsidRDefault="00583CA4" w:rsidP="00CB6769">
      <w:pPr>
        <w:pStyle w:val="Procedury-poziom1"/>
      </w:pPr>
      <w:r w:rsidRPr="005557A2">
        <w:t>3. Opis postępowania w ramach procedury</w:t>
      </w:r>
    </w:p>
    <w:p w14:paraId="33DA6A40" w14:textId="77777777" w:rsidR="00583CA4" w:rsidRPr="005557A2" w:rsidRDefault="00583CA4" w:rsidP="00410BD7">
      <w:pPr>
        <w:pStyle w:val="Procedury-poziom2"/>
      </w:pPr>
      <w:r w:rsidRPr="005557A2">
        <w:t>3.1. Tryb postępowania</w:t>
      </w:r>
    </w:p>
    <w:p w14:paraId="5D2AE24E" w14:textId="77777777" w:rsidR="00583CA4" w:rsidRPr="00E21EA4" w:rsidRDefault="00583CA4" w:rsidP="00C44317">
      <w:pPr>
        <w:pStyle w:val="KJK-akapitnormalny"/>
        <w:ind w:firstLine="426"/>
      </w:pPr>
      <w:r>
        <w:t>Podania i odwołania kierowane do Dziekana oraz Prodziekanów należy składać w</w:t>
      </w:r>
      <w:r w:rsidR="00B42600">
        <w:t> </w:t>
      </w:r>
      <w:r>
        <w:t xml:space="preserve">Dziekanacie. Decyzje wydawane są zgodnie z </w:t>
      </w:r>
      <w:r w:rsidRPr="00BF1BF8">
        <w:rPr>
          <w:rStyle w:val="Wyrnieniedelikatne"/>
          <w:iCs/>
        </w:rPr>
        <w:t>Kod</w:t>
      </w:r>
      <w:r>
        <w:rPr>
          <w:rStyle w:val="Wyrnieniedelikatne"/>
          <w:iCs/>
        </w:rPr>
        <w:t>e</w:t>
      </w:r>
      <w:r w:rsidRPr="00BF1BF8">
        <w:rPr>
          <w:rStyle w:val="Wyrnieniedelikatne"/>
          <w:iCs/>
        </w:rPr>
        <w:t>ks</w:t>
      </w:r>
      <w:r>
        <w:rPr>
          <w:rStyle w:val="Wyrnieniedelikatne"/>
          <w:iCs/>
        </w:rPr>
        <w:t>em</w:t>
      </w:r>
      <w:r w:rsidRPr="00BF1BF8">
        <w:rPr>
          <w:rStyle w:val="Wyrnieniedelikatne"/>
          <w:iCs/>
        </w:rPr>
        <w:t xml:space="preserve"> Postępowania Administracyjnego</w:t>
      </w:r>
      <w:r>
        <w:t>. Studenci odbierają decyzje</w:t>
      </w:r>
      <w:r w:rsidRPr="00E21EA4">
        <w:t xml:space="preserve"> w Dziekanacie, za wyjątkiem decyzji o skreśleniu z listy studentów, </w:t>
      </w:r>
      <w:r w:rsidRPr="001E4BAB">
        <w:t xml:space="preserve">doręczanej </w:t>
      </w:r>
      <w:r w:rsidRPr="00E21EA4">
        <w:t>listownie.</w:t>
      </w:r>
    </w:p>
    <w:p w14:paraId="5138A7FF" w14:textId="77777777" w:rsidR="00583CA4" w:rsidRPr="00D41757" w:rsidRDefault="00583CA4" w:rsidP="00410BD7">
      <w:pPr>
        <w:pStyle w:val="Procedury-poziom2"/>
      </w:pPr>
      <w:r w:rsidRPr="00D41757">
        <w:t>3.2. Dokumenty stanowiące konieczne załączniki do podania</w:t>
      </w:r>
    </w:p>
    <w:p w14:paraId="0591BD6E" w14:textId="5F72BC78" w:rsidR="00583CA4" w:rsidRPr="005557A2" w:rsidRDefault="00583CA4" w:rsidP="005B2ABF">
      <w:pPr>
        <w:pStyle w:val="KJK-punktowanie"/>
        <w:numPr>
          <w:ilvl w:val="0"/>
          <w:numId w:val="0"/>
        </w:numPr>
        <w:ind w:firstLine="425"/>
        <w:rPr>
          <w:rStyle w:val="Wyrnieniedelikatne"/>
          <w:i w:val="0"/>
          <w:iCs/>
        </w:rPr>
      </w:pPr>
      <w:r w:rsidRPr="00457728">
        <w:t xml:space="preserve">Do </w:t>
      </w:r>
      <w:bookmarkStart w:id="0" w:name="_GoBack"/>
      <w:bookmarkEnd w:id="0"/>
      <w:r>
        <w:t>podania o</w:t>
      </w:r>
      <w:r w:rsidR="00B42600">
        <w:t> </w:t>
      </w:r>
      <w:r>
        <w:t xml:space="preserve">wznowienie toku studiów, o </w:t>
      </w:r>
      <w:r w:rsidRPr="005B2ABF">
        <w:rPr>
          <w:rFonts w:cs="Arial"/>
          <w:szCs w:val="24"/>
        </w:rPr>
        <w:t>zmian</w:t>
      </w:r>
      <w:r>
        <w:rPr>
          <w:rFonts w:cs="Arial"/>
          <w:szCs w:val="24"/>
        </w:rPr>
        <w:t>ę</w:t>
      </w:r>
      <w:r w:rsidRPr="005B2ABF">
        <w:rPr>
          <w:rFonts w:cs="Arial"/>
          <w:szCs w:val="24"/>
        </w:rPr>
        <w:t xml:space="preserve"> kierunku studiów w ramach </w:t>
      </w:r>
      <w:r w:rsidR="00F42BC1">
        <w:rPr>
          <w:rFonts w:cs="Arial"/>
          <w:szCs w:val="24"/>
        </w:rPr>
        <w:t>W</w:t>
      </w:r>
      <w:r w:rsidR="00F42BC1" w:rsidRPr="005B2ABF">
        <w:rPr>
          <w:rFonts w:cs="Arial"/>
          <w:szCs w:val="24"/>
        </w:rPr>
        <w:t xml:space="preserve">ydziału </w:t>
      </w:r>
      <w:proofErr w:type="spellStart"/>
      <w:r w:rsidRPr="005B2ABF">
        <w:rPr>
          <w:rFonts w:cs="Arial"/>
          <w:szCs w:val="24"/>
        </w:rPr>
        <w:t>AEiI</w:t>
      </w:r>
      <w:proofErr w:type="spellEnd"/>
      <w:r w:rsidRPr="005B2ABF">
        <w:rPr>
          <w:rFonts w:cs="Arial"/>
          <w:szCs w:val="24"/>
        </w:rPr>
        <w:t xml:space="preserve"> oraz przeniesieni</w:t>
      </w:r>
      <w:r>
        <w:rPr>
          <w:rFonts w:cs="Arial"/>
          <w:szCs w:val="24"/>
        </w:rPr>
        <w:t>e</w:t>
      </w:r>
      <w:r w:rsidRPr="005B2ABF">
        <w:rPr>
          <w:rFonts w:cs="Arial"/>
          <w:szCs w:val="24"/>
        </w:rPr>
        <w:t xml:space="preserve"> z innego wydziału lub uczelni na Wydział </w:t>
      </w:r>
      <w:proofErr w:type="spellStart"/>
      <w:r w:rsidRPr="005B2ABF">
        <w:rPr>
          <w:rFonts w:cs="Arial"/>
          <w:szCs w:val="24"/>
        </w:rPr>
        <w:t>AEiI</w:t>
      </w:r>
      <w:proofErr w:type="spellEnd"/>
      <w:r>
        <w:rPr>
          <w:rFonts w:cs="Arial"/>
          <w:szCs w:val="24"/>
        </w:rPr>
        <w:t>,</w:t>
      </w:r>
      <w:r>
        <w:t xml:space="preserve"> należy dołączyć tabelaryczne zestawienie aktualnie obowiązujących</w:t>
      </w:r>
      <w:r w:rsidR="005557A2">
        <w:t> </w:t>
      </w:r>
      <w:r>
        <w:t>/</w:t>
      </w:r>
      <w:r w:rsidR="005557A2">
        <w:t> </w:t>
      </w:r>
      <w:r>
        <w:t xml:space="preserve">zaliczonych przedmiotów, zgodnie z załącznikiem </w:t>
      </w:r>
      <w:r w:rsidRPr="00226D72">
        <w:rPr>
          <w:rStyle w:val="Wyrnieniedelikatne"/>
          <w:iCs/>
        </w:rPr>
        <w:t xml:space="preserve">Z8-P-RAu-3 </w:t>
      </w:r>
      <w:r>
        <w:rPr>
          <w:rStyle w:val="Wyrnieniedelikatne"/>
          <w:iCs/>
        </w:rPr>
        <w:t xml:space="preserve">Tabelaryczne zestawienie przedmiotów. </w:t>
      </w:r>
      <w:r w:rsidRPr="00BD1AA4">
        <w:rPr>
          <w:rStyle w:val="Wyrnieniedelikatne"/>
          <w:i w:val="0"/>
          <w:iCs/>
        </w:rPr>
        <w:t>Tryb postępowania przy</w:t>
      </w:r>
      <w:r>
        <w:rPr>
          <w:rStyle w:val="Wyrnieniedelikatne"/>
          <w:iCs/>
        </w:rPr>
        <w:t xml:space="preserve"> </w:t>
      </w:r>
      <w:r w:rsidRPr="00BD1AA4">
        <w:rPr>
          <w:rStyle w:val="Wyrnieniedelikatne"/>
          <w:i w:val="0"/>
          <w:iCs/>
        </w:rPr>
        <w:t xml:space="preserve">wznawianiu studiów został określony w instrukcji </w:t>
      </w:r>
      <w:r w:rsidRPr="00226D72">
        <w:rPr>
          <w:rStyle w:val="Wyrnieniedelikatne"/>
          <w:iCs/>
        </w:rPr>
        <w:t>I1-P-RAu-3</w:t>
      </w:r>
      <w:r>
        <w:rPr>
          <w:rStyle w:val="Wyrnieniedelikatne"/>
          <w:i w:val="0"/>
          <w:iCs/>
        </w:rPr>
        <w:t xml:space="preserve"> </w:t>
      </w:r>
      <w:r w:rsidRPr="00BD1AA4">
        <w:rPr>
          <w:rStyle w:val="Wyrnieniedelikatne"/>
          <w:iCs/>
        </w:rPr>
        <w:t>Rejestracja na semestr po urlopie długoterminowym oraz po wznowieniu studiów.</w:t>
      </w:r>
      <w:r>
        <w:rPr>
          <w:rStyle w:val="Wyrnieniedelikatne"/>
          <w:iCs/>
        </w:rPr>
        <w:t xml:space="preserve"> </w:t>
      </w:r>
      <w:r w:rsidRPr="00BD1AA4">
        <w:rPr>
          <w:rStyle w:val="Wyrnieniedelikatne"/>
          <w:i w:val="0"/>
          <w:iCs/>
        </w:rPr>
        <w:t xml:space="preserve">Tryb postępowania </w:t>
      </w:r>
      <w:r>
        <w:rPr>
          <w:rStyle w:val="Wyrnieniedelikatne"/>
          <w:i w:val="0"/>
          <w:iCs/>
        </w:rPr>
        <w:t>przy zmianie kierunku studiów, wydziału lub uczelni</w:t>
      </w:r>
      <w:r w:rsidRPr="00BD1AA4">
        <w:rPr>
          <w:rStyle w:val="Wyrnieniedelikatne"/>
          <w:i w:val="0"/>
          <w:iCs/>
        </w:rPr>
        <w:t xml:space="preserve"> został określony w instrukcji </w:t>
      </w:r>
      <w:r w:rsidRPr="00226D72">
        <w:rPr>
          <w:rStyle w:val="Wyrnieniedelikatne"/>
          <w:iCs/>
        </w:rPr>
        <w:t>I2-P-RAu-3</w:t>
      </w:r>
      <w:r>
        <w:rPr>
          <w:rStyle w:val="Wyrnieniedelikatne"/>
          <w:i w:val="0"/>
          <w:iCs/>
        </w:rPr>
        <w:t xml:space="preserve"> </w:t>
      </w:r>
      <w:r w:rsidRPr="00B559A8">
        <w:rPr>
          <w:rFonts w:cs="Arial"/>
          <w:i/>
          <w:szCs w:val="24"/>
        </w:rPr>
        <w:t xml:space="preserve">Tryb postępowania przy zmianie kierunku studiów w ramach wydziału </w:t>
      </w:r>
      <w:proofErr w:type="spellStart"/>
      <w:r w:rsidRPr="00B559A8">
        <w:rPr>
          <w:rFonts w:cs="Arial"/>
          <w:i/>
          <w:szCs w:val="24"/>
        </w:rPr>
        <w:t>AEiI</w:t>
      </w:r>
      <w:proofErr w:type="spellEnd"/>
      <w:r w:rsidRPr="00B559A8">
        <w:rPr>
          <w:rFonts w:cs="Arial"/>
          <w:i/>
          <w:szCs w:val="24"/>
        </w:rPr>
        <w:t xml:space="preserve"> oraz przeniesieniu z innego wydziału lub uczelni na Wydział </w:t>
      </w:r>
      <w:proofErr w:type="spellStart"/>
      <w:r w:rsidRPr="00B559A8">
        <w:rPr>
          <w:rFonts w:cs="Arial"/>
          <w:i/>
          <w:szCs w:val="24"/>
        </w:rPr>
        <w:t>AEiI</w:t>
      </w:r>
      <w:proofErr w:type="spellEnd"/>
      <w:r w:rsidRPr="00226D72">
        <w:rPr>
          <w:rStyle w:val="Wyrnieniedelikatne"/>
          <w:i w:val="0"/>
          <w:iCs/>
        </w:rPr>
        <w:t>.</w:t>
      </w:r>
    </w:p>
    <w:p w14:paraId="431CC5A1" w14:textId="77777777" w:rsidR="00583CA4" w:rsidRDefault="00583CA4" w:rsidP="003B5AC2">
      <w:pPr>
        <w:pStyle w:val="KJK-akapitnormalny"/>
      </w:pPr>
      <w:r>
        <w:t>W przypadku ubiegania się o urlop zdrowotny, student powinien załączyć wyłącznie podstawowe dokumenty uzasadniające podanie. Pełną zgromadzoną dokumentację medyczną należy przygotować do okazania akademickiej komisji lekarskiej.</w:t>
      </w:r>
    </w:p>
    <w:p w14:paraId="41D692D2" w14:textId="77777777" w:rsidR="00583CA4" w:rsidRPr="00D41757" w:rsidRDefault="00583CA4" w:rsidP="00410BD7">
      <w:pPr>
        <w:pStyle w:val="Procedury-poziom2"/>
      </w:pPr>
      <w:r w:rsidRPr="00D41757">
        <w:t>3.3. Informacje niezbędne do rozpatrzenia podania</w:t>
      </w:r>
    </w:p>
    <w:p w14:paraId="5FCB5A41" w14:textId="77777777" w:rsidR="00583CA4" w:rsidRDefault="00583CA4" w:rsidP="003B5AC2">
      <w:pPr>
        <w:pStyle w:val="KJK-akapitnormalny"/>
      </w:pPr>
      <w:r>
        <w:t xml:space="preserve">Student </w:t>
      </w:r>
      <w:r w:rsidR="004A224C">
        <w:t xml:space="preserve">składający podanie </w:t>
      </w:r>
      <w:r>
        <w:t xml:space="preserve">zobowiązany jest wymienić </w:t>
      </w:r>
      <w:r w:rsidR="009F7249">
        <w:t xml:space="preserve">w nim </w:t>
      </w:r>
      <w:r>
        <w:t>wszystkie niezaliczone przedmioty z poprzednich semestrów (semestr, przedmiot, rodzaj zajęć, liczba punktów ECTS).</w:t>
      </w:r>
      <w:r w:rsidR="004A224C">
        <w:t xml:space="preserve"> Wymóg ten nie jest konieczny w przypadku podania o urlop zdrowotny.</w:t>
      </w:r>
    </w:p>
    <w:p w14:paraId="175252E5" w14:textId="77777777" w:rsidR="00583CA4" w:rsidRPr="00D41757" w:rsidRDefault="00583CA4" w:rsidP="00410BD7">
      <w:pPr>
        <w:pStyle w:val="Procedury-poziom2"/>
      </w:pPr>
      <w:r w:rsidRPr="00D41757">
        <w:t>3.4. Termin złożenia podania</w:t>
      </w:r>
    </w:p>
    <w:p w14:paraId="4C42E884" w14:textId="77777777" w:rsidR="00583CA4" w:rsidRDefault="00583CA4" w:rsidP="003B5AC2">
      <w:pPr>
        <w:pStyle w:val="KJK-akapitnormalny"/>
      </w:pPr>
      <w:r>
        <w:t>Podanie o urlop na uzupełnienie zaległości w nauce lub losowy, oraz podanie o</w:t>
      </w:r>
      <w:r w:rsidR="00B42600">
        <w:t> </w:t>
      </w:r>
      <w:r>
        <w:t xml:space="preserve">studiowanie awansem należy złożyć nie później niż 7 dni po terminie zaliczenia semestru, określonym w rozporządzeniu </w:t>
      </w:r>
      <w:r w:rsidRPr="00DB01C5">
        <w:rPr>
          <w:rStyle w:val="Wyrnieniedelikatne"/>
          <w:iCs/>
        </w:rPr>
        <w:t>Organizacja roku akademickiego</w:t>
      </w:r>
      <w:r>
        <w:rPr>
          <w:rStyle w:val="Wyrnieniedelikatne"/>
          <w:iCs/>
        </w:rPr>
        <w:t xml:space="preserve"> na Politechnice Śląskiej</w:t>
      </w:r>
      <w:r>
        <w:t xml:space="preserve">. </w:t>
      </w:r>
      <w:r w:rsidRPr="002C5D71">
        <w:rPr>
          <w:rStyle w:val="Wyrnieniedelikatne"/>
          <w:i w:val="0"/>
          <w:iCs/>
        </w:rPr>
        <w:lastRenderedPageBreak/>
        <w:t>Podani</w:t>
      </w:r>
      <w:r>
        <w:rPr>
          <w:rStyle w:val="Wyrnieniedelikatne"/>
          <w:i w:val="0"/>
          <w:iCs/>
        </w:rPr>
        <w:t>e</w:t>
      </w:r>
      <w:r w:rsidRPr="002C5D71">
        <w:rPr>
          <w:rStyle w:val="Wyrnieniedelikatne"/>
          <w:i w:val="0"/>
          <w:iCs/>
        </w:rPr>
        <w:t xml:space="preserve"> o wznowienie studiów</w:t>
      </w:r>
      <w:r>
        <w:t xml:space="preserve"> oraz podanie o urlop zdrowotny należy złożyć co najmniej 14 dni przed rozpoczęciem semestru.</w:t>
      </w:r>
    </w:p>
    <w:p w14:paraId="3DDEFB2D" w14:textId="77777777" w:rsidR="00583CA4" w:rsidRPr="00D41757" w:rsidRDefault="00583CA4" w:rsidP="00410BD7">
      <w:pPr>
        <w:pStyle w:val="Procedury-poziom2"/>
      </w:pPr>
      <w:r w:rsidRPr="00D41757">
        <w:t>3.5. Termin rozpatrzenia podania</w:t>
      </w:r>
    </w:p>
    <w:p w14:paraId="2E56C46A" w14:textId="77777777" w:rsidR="00583CA4" w:rsidRDefault="00583CA4" w:rsidP="003B5AC2">
      <w:pPr>
        <w:pStyle w:val="KJK-akapitnormalny"/>
      </w:pPr>
      <w:r>
        <w:t xml:space="preserve">Dziekan lub Prodziekani zobowiązani są do rozpatrzenia podań i </w:t>
      </w:r>
      <w:proofErr w:type="spellStart"/>
      <w:r>
        <w:t>odwołań</w:t>
      </w:r>
      <w:proofErr w:type="spellEnd"/>
      <w:r>
        <w:t xml:space="preserve"> w terminie do 14 dni.</w:t>
      </w:r>
    </w:p>
    <w:p w14:paraId="51B9F2E5" w14:textId="77777777" w:rsidR="00583CA4" w:rsidRPr="00D41757" w:rsidRDefault="00583CA4" w:rsidP="00410BD7">
      <w:pPr>
        <w:pStyle w:val="Procedury-poziom2"/>
      </w:pPr>
      <w:r w:rsidRPr="00D41757">
        <w:t>3.6. Odwołania od decyzji Dziekana i Prodziekanów</w:t>
      </w:r>
    </w:p>
    <w:p w14:paraId="65A8139B" w14:textId="77777777" w:rsidR="00583CA4" w:rsidRDefault="00583CA4" w:rsidP="003B5AC2">
      <w:pPr>
        <w:pStyle w:val="KJK-akapitnormalny"/>
      </w:pPr>
      <w:r>
        <w:t>Od decyzji Dziekana lub Prodziekanów przysługuje odwołanie do Rektora, przez Dziekana.</w:t>
      </w:r>
    </w:p>
    <w:p w14:paraId="7C050808" w14:textId="77777777" w:rsidR="00583CA4" w:rsidRPr="00D41757" w:rsidRDefault="00583CA4" w:rsidP="00CB6769">
      <w:pPr>
        <w:pStyle w:val="Procedury-poziom1"/>
      </w:pPr>
      <w:r w:rsidRPr="00D41757">
        <w:t>4. Dokumenty związane z procedurą</w:t>
      </w:r>
    </w:p>
    <w:p w14:paraId="68121C3B" w14:textId="77777777" w:rsidR="00583CA4" w:rsidRPr="00EE681E" w:rsidRDefault="00583CA4" w:rsidP="003B5AC2">
      <w:pPr>
        <w:pStyle w:val="KJK-punktowanie"/>
        <w:rPr>
          <w:rStyle w:val="Wyrnieniedelikatne"/>
          <w:iCs/>
        </w:rPr>
      </w:pPr>
      <w:r w:rsidRPr="00EE681E">
        <w:rPr>
          <w:rStyle w:val="Wyrnieniedelikatne"/>
          <w:iCs/>
        </w:rPr>
        <w:t>Statut Politechniki Śląskiej</w:t>
      </w:r>
    </w:p>
    <w:p w14:paraId="19D1F10E" w14:textId="77777777" w:rsidR="00583CA4" w:rsidRPr="00EE681E" w:rsidRDefault="00583CA4" w:rsidP="003B5AC2">
      <w:pPr>
        <w:pStyle w:val="KJK-punktowanie"/>
        <w:rPr>
          <w:rStyle w:val="Wyrnieniedelikatne"/>
          <w:iCs/>
        </w:rPr>
      </w:pPr>
      <w:r w:rsidRPr="00EE681E">
        <w:rPr>
          <w:rStyle w:val="Wyrnieniedelikatne"/>
          <w:iCs/>
        </w:rPr>
        <w:t xml:space="preserve">Regulamin </w:t>
      </w:r>
      <w:r w:rsidR="00EE681E" w:rsidRPr="00EE681E">
        <w:rPr>
          <w:rStyle w:val="Wyrnieniedelikatne"/>
          <w:iCs/>
        </w:rPr>
        <w:t>studiów</w:t>
      </w:r>
    </w:p>
    <w:p w14:paraId="261975F6" w14:textId="77777777" w:rsidR="00583CA4" w:rsidRPr="00EE681E" w:rsidRDefault="00583CA4" w:rsidP="003B5AC2">
      <w:pPr>
        <w:pStyle w:val="KJK-punktowanie"/>
        <w:rPr>
          <w:rStyle w:val="Wyrnieniedelikatne"/>
          <w:iCs/>
        </w:rPr>
      </w:pPr>
      <w:r w:rsidRPr="00EE681E">
        <w:rPr>
          <w:rStyle w:val="Wyrnieniedelikatne"/>
          <w:iCs/>
        </w:rPr>
        <w:t>Kodeks Postępowania Administracyjnego</w:t>
      </w:r>
    </w:p>
    <w:p w14:paraId="39CF29F8" w14:textId="77777777" w:rsidR="00583CA4" w:rsidRPr="00B559A8" w:rsidRDefault="00583CA4" w:rsidP="00B559A8">
      <w:pPr>
        <w:pStyle w:val="KJK-punktowanie"/>
        <w:rPr>
          <w:rStyle w:val="Wyrnieniedelikatne"/>
          <w:iCs/>
        </w:rPr>
      </w:pPr>
      <w:r w:rsidRPr="00952DE8">
        <w:rPr>
          <w:rStyle w:val="Wyrnieniedelikatne"/>
          <w:i w:val="0"/>
          <w:iCs/>
        </w:rPr>
        <w:t>Instrukcja</w:t>
      </w:r>
      <w:r>
        <w:rPr>
          <w:rStyle w:val="Wyrnieniedelikatne"/>
          <w:i w:val="0"/>
          <w:iCs/>
        </w:rPr>
        <w:t xml:space="preserve"> </w:t>
      </w:r>
      <w:r w:rsidRPr="00226D72">
        <w:rPr>
          <w:rStyle w:val="Wyrnieniedelikatne"/>
          <w:iCs/>
        </w:rPr>
        <w:t>I1-P-RAu-3</w:t>
      </w:r>
      <w:r>
        <w:rPr>
          <w:rStyle w:val="Wyrnieniedelikatne"/>
          <w:i w:val="0"/>
          <w:iCs/>
        </w:rPr>
        <w:t xml:space="preserve"> </w:t>
      </w:r>
      <w:r w:rsidRPr="00952DE8">
        <w:rPr>
          <w:rStyle w:val="Wyrnieniedelikatne"/>
          <w:iCs/>
        </w:rPr>
        <w:t>Rejestracja na semestr po urlopie długoterminowym oraz po wznowieniu studiów</w:t>
      </w:r>
    </w:p>
    <w:p w14:paraId="5B89F37F" w14:textId="77777777" w:rsidR="00583CA4" w:rsidRPr="00B559A8" w:rsidRDefault="00583CA4" w:rsidP="00B559A8">
      <w:pPr>
        <w:pStyle w:val="KJK-punktowanie"/>
        <w:rPr>
          <w:rStyle w:val="Wyrnieniedelikatne"/>
          <w:iCs/>
        </w:rPr>
      </w:pPr>
      <w:r w:rsidRPr="00952DE8">
        <w:rPr>
          <w:rStyle w:val="Wyrnieniedelikatne"/>
          <w:i w:val="0"/>
          <w:iCs/>
        </w:rPr>
        <w:t>Instrukcja</w:t>
      </w:r>
      <w:r>
        <w:rPr>
          <w:rStyle w:val="Wyrnieniedelikatne"/>
          <w:i w:val="0"/>
          <w:iCs/>
        </w:rPr>
        <w:t xml:space="preserve"> </w:t>
      </w:r>
      <w:r w:rsidRPr="00226D72">
        <w:rPr>
          <w:rStyle w:val="Wyrnieniedelikatne"/>
          <w:iCs/>
        </w:rPr>
        <w:t>I2-P-RAu-3</w:t>
      </w:r>
      <w:r>
        <w:rPr>
          <w:rStyle w:val="Wyrnieniedelikatne"/>
          <w:i w:val="0"/>
          <w:iCs/>
        </w:rPr>
        <w:t xml:space="preserve"> </w:t>
      </w:r>
      <w:r w:rsidRPr="00B559A8">
        <w:rPr>
          <w:rFonts w:cs="Arial"/>
          <w:i/>
          <w:szCs w:val="24"/>
        </w:rPr>
        <w:t xml:space="preserve">Tryb postępowania przy zmianie kierunku studiów w ramach wydziału </w:t>
      </w:r>
      <w:proofErr w:type="spellStart"/>
      <w:r w:rsidRPr="00B559A8">
        <w:rPr>
          <w:rFonts w:cs="Arial"/>
          <w:i/>
          <w:szCs w:val="24"/>
        </w:rPr>
        <w:t>AEiI</w:t>
      </w:r>
      <w:proofErr w:type="spellEnd"/>
      <w:r w:rsidRPr="00B559A8">
        <w:rPr>
          <w:rFonts w:cs="Arial"/>
          <w:i/>
          <w:szCs w:val="24"/>
        </w:rPr>
        <w:t xml:space="preserve"> oraz przeniesieniu z innego wydziału lub uczelni na Wydział </w:t>
      </w:r>
      <w:proofErr w:type="spellStart"/>
      <w:r w:rsidRPr="00B559A8">
        <w:rPr>
          <w:rFonts w:cs="Arial"/>
          <w:i/>
          <w:szCs w:val="24"/>
        </w:rPr>
        <w:t>AEiI</w:t>
      </w:r>
      <w:proofErr w:type="spellEnd"/>
    </w:p>
    <w:p w14:paraId="564F3843" w14:textId="77777777" w:rsidR="00583CA4" w:rsidRPr="00391FA4" w:rsidRDefault="00765A9B" w:rsidP="00CB6769">
      <w:pPr>
        <w:pStyle w:val="Procedury-poziom1"/>
        <w:rPr>
          <w:rStyle w:val="Wyrnieniedelikatne"/>
          <w:b w:val="0"/>
          <w:i w:val="0"/>
          <w:iCs/>
        </w:rPr>
      </w:pPr>
      <w:r w:rsidRPr="00391FA4">
        <w:rPr>
          <w:rStyle w:val="Wyrnieniedelikatne"/>
          <w:b w:val="0"/>
          <w:i w:val="0"/>
          <w:iCs/>
        </w:rPr>
        <w:t>5</w:t>
      </w:r>
      <w:r w:rsidR="00583CA4" w:rsidRPr="00391FA4">
        <w:rPr>
          <w:rStyle w:val="Wyrnieniedelikatne"/>
          <w:i w:val="0"/>
          <w:iCs/>
        </w:rPr>
        <w:t>. Załączniki</w:t>
      </w:r>
    </w:p>
    <w:p w14:paraId="382E361C" w14:textId="77777777" w:rsidR="00583CA4" w:rsidRPr="00226D72" w:rsidRDefault="00583CA4" w:rsidP="003B5AC2">
      <w:pPr>
        <w:pStyle w:val="KJK-punktowanie"/>
        <w:rPr>
          <w:rStyle w:val="Wyrnieniedelikatne"/>
          <w:iCs/>
        </w:rPr>
      </w:pPr>
      <w:r w:rsidRPr="00226D72">
        <w:rPr>
          <w:rStyle w:val="Wyrnieniedelikatne"/>
          <w:iCs/>
        </w:rPr>
        <w:t>Z1-P-RAu-3 Podanie o przesunięcie terminu złożenia pracy dyplomowej</w:t>
      </w:r>
    </w:p>
    <w:p w14:paraId="5FDEACDB" w14:textId="77777777" w:rsidR="00583CA4" w:rsidRPr="00226D72" w:rsidRDefault="00583CA4" w:rsidP="003B5AC2">
      <w:pPr>
        <w:pStyle w:val="KJK-punktowanie"/>
        <w:rPr>
          <w:rStyle w:val="Wyrnieniedelikatne"/>
          <w:iCs/>
        </w:rPr>
      </w:pPr>
      <w:r w:rsidRPr="00226D72">
        <w:rPr>
          <w:rStyle w:val="Wyrnieniedelikatne"/>
          <w:iCs/>
        </w:rPr>
        <w:t>Z2-P-RAu-3 Podanie o egzamin komisyjny</w:t>
      </w:r>
    </w:p>
    <w:p w14:paraId="7C9A41D8" w14:textId="77777777" w:rsidR="00583CA4" w:rsidRPr="00226D72" w:rsidRDefault="00583CA4" w:rsidP="003B5AC2">
      <w:pPr>
        <w:pStyle w:val="KJK-punktowanie"/>
        <w:rPr>
          <w:rStyle w:val="Wyrnieniedelikatne"/>
          <w:iCs/>
        </w:rPr>
      </w:pPr>
      <w:r w:rsidRPr="00226D72">
        <w:rPr>
          <w:rStyle w:val="Wyrnieniedelikatne"/>
          <w:iCs/>
        </w:rPr>
        <w:t>Z3-P-RAu-3 Podanie uniwersalne</w:t>
      </w:r>
    </w:p>
    <w:p w14:paraId="44DCF813" w14:textId="77777777" w:rsidR="00583CA4" w:rsidRPr="00226D72" w:rsidRDefault="00583CA4" w:rsidP="003B5AC2">
      <w:pPr>
        <w:pStyle w:val="KJK-punktowanie"/>
        <w:rPr>
          <w:rStyle w:val="Wyrnieniedelikatne"/>
          <w:iCs/>
        </w:rPr>
      </w:pPr>
      <w:r w:rsidRPr="00226D72">
        <w:rPr>
          <w:rStyle w:val="Wyrnieniedelikatne"/>
          <w:iCs/>
        </w:rPr>
        <w:t>Z4-P-RAu-3 Podanie o urlop na uzupełnienie zaległości w nauce/losowy</w:t>
      </w:r>
    </w:p>
    <w:p w14:paraId="6C25CD70" w14:textId="77777777" w:rsidR="00583CA4" w:rsidRPr="00226D72" w:rsidRDefault="00583CA4" w:rsidP="003B5AC2">
      <w:pPr>
        <w:pStyle w:val="KJK-punktowanie"/>
        <w:rPr>
          <w:rStyle w:val="Wyrnieniedelikatne"/>
          <w:iCs/>
        </w:rPr>
      </w:pPr>
      <w:r w:rsidRPr="00226D72">
        <w:rPr>
          <w:rStyle w:val="Wyrnieniedelikatne"/>
          <w:iCs/>
        </w:rPr>
        <w:t>Z5-P-RAu-3 Podanie o urlop zdrowotny</w:t>
      </w:r>
    </w:p>
    <w:p w14:paraId="0147280B" w14:textId="77777777" w:rsidR="00583CA4" w:rsidRPr="00226D72" w:rsidRDefault="00583CA4" w:rsidP="003B5AC2">
      <w:pPr>
        <w:pStyle w:val="KJK-punktowanie"/>
        <w:rPr>
          <w:rStyle w:val="Wyrnieniedelikatne"/>
          <w:iCs/>
        </w:rPr>
      </w:pPr>
      <w:r w:rsidRPr="00226D72">
        <w:rPr>
          <w:rStyle w:val="Wyrnieniedelikatne"/>
          <w:iCs/>
        </w:rPr>
        <w:t>Z6-P-RAu-3 Podanie o wznowienie studiów</w:t>
      </w:r>
    </w:p>
    <w:p w14:paraId="21D7E645" w14:textId="77777777" w:rsidR="00583CA4" w:rsidRPr="00226D72" w:rsidRDefault="00583CA4" w:rsidP="003B5AC2">
      <w:pPr>
        <w:pStyle w:val="KJK-punktowanie"/>
        <w:rPr>
          <w:rStyle w:val="Wyrnieniedelikatne"/>
          <w:iCs/>
        </w:rPr>
      </w:pPr>
      <w:r w:rsidRPr="00226D72">
        <w:rPr>
          <w:rStyle w:val="Wyrnieniedelikatne"/>
          <w:iCs/>
        </w:rPr>
        <w:t>Z7-P-RAu-3 Podanie o studiowanie przedmiotów awansem</w:t>
      </w:r>
    </w:p>
    <w:p w14:paraId="72A9A85A" w14:textId="77777777" w:rsidR="00583CA4" w:rsidRPr="00781050" w:rsidRDefault="00583CA4" w:rsidP="00781050">
      <w:pPr>
        <w:pStyle w:val="KJK-punktowanie"/>
        <w:rPr>
          <w:rStyle w:val="Wyrnieniedelikatne"/>
          <w:iCs/>
        </w:rPr>
      </w:pPr>
      <w:r w:rsidRPr="00226D72">
        <w:rPr>
          <w:rStyle w:val="Wyrnieniedelikatne"/>
          <w:iCs/>
        </w:rPr>
        <w:t>Z8-P-RAu-3 Tabelaryczne zestawienie przedmiotów</w:t>
      </w:r>
    </w:p>
    <w:sectPr w:rsidR="00583CA4" w:rsidRPr="00781050" w:rsidSect="00765A9B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44C27" w14:textId="77777777" w:rsidR="00AB03DB" w:rsidRDefault="00AB03DB" w:rsidP="00683693">
      <w:r>
        <w:separator/>
      </w:r>
    </w:p>
  </w:endnote>
  <w:endnote w:type="continuationSeparator" w:id="0">
    <w:p w14:paraId="41CFE039" w14:textId="77777777" w:rsidR="00AB03DB" w:rsidRDefault="00AB03DB" w:rsidP="00683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C6E61" w14:textId="77777777" w:rsidR="00AB03DB" w:rsidRDefault="00AB03DB" w:rsidP="00683693">
      <w:r>
        <w:separator/>
      </w:r>
    </w:p>
  </w:footnote>
  <w:footnote w:type="continuationSeparator" w:id="0">
    <w:p w14:paraId="285DB733" w14:textId="77777777" w:rsidR="00AB03DB" w:rsidRDefault="00AB03DB" w:rsidP="00683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25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88"/>
      <w:gridCol w:w="4819"/>
      <w:gridCol w:w="1418"/>
      <w:gridCol w:w="1525"/>
    </w:tblGrid>
    <w:tr w:rsidR="00583CA4" w14:paraId="20AE35D2" w14:textId="77777777" w:rsidTr="00473151">
      <w:trPr>
        <w:cantSplit/>
        <w:trHeight w:val="514"/>
      </w:trPr>
      <w:tc>
        <w:tcPr>
          <w:tcW w:w="1488" w:type="dxa"/>
          <w:vMerge w:val="restart"/>
          <w:vAlign w:val="center"/>
        </w:tcPr>
        <w:p w14:paraId="64A93145" w14:textId="77777777" w:rsidR="00583CA4" w:rsidRPr="0056767E" w:rsidRDefault="00457728" w:rsidP="00F4387C">
          <w:pPr>
            <w:pStyle w:val="Nagwek"/>
            <w:ind w:right="360" w:firstLine="0"/>
            <w:jc w:val="center"/>
            <w:rPr>
              <w:rFonts w:ascii="Tahoma" w:hAnsi="Tahoma"/>
            </w:rPr>
          </w:pPr>
          <w:r>
            <w:rPr>
              <w:rFonts w:ascii="Tahoma" w:hAnsi="Tahoma"/>
              <w:noProof/>
              <w:lang w:eastAsia="pl-PL"/>
            </w:rPr>
            <w:pict w14:anchorId="0D65344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i1025" type="#_x0000_t75" alt="Rysunek2" style="width:66.75pt;height:63.75pt;visibility:visible">
                <v:imagedata r:id="rId1" o:title=""/>
              </v:shape>
            </w:pict>
          </w:r>
        </w:p>
      </w:tc>
      <w:tc>
        <w:tcPr>
          <w:tcW w:w="4819" w:type="dxa"/>
          <w:vMerge w:val="restart"/>
          <w:vAlign w:val="center"/>
        </w:tcPr>
        <w:p w14:paraId="49D409E5" w14:textId="77777777" w:rsidR="00583CA4" w:rsidRPr="0056767E" w:rsidRDefault="00583CA4" w:rsidP="00473151">
          <w:pPr>
            <w:pStyle w:val="Nagwek"/>
            <w:jc w:val="center"/>
            <w:rPr>
              <w:rFonts w:ascii="Tahoma" w:hAnsi="Tahoma"/>
              <w:b/>
            </w:rPr>
          </w:pPr>
          <w:r w:rsidRPr="0056767E">
            <w:rPr>
              <w:rFonts w:ascii="Tahoma" w:hAnsi="Tahoma"/>
              <w:b/>
              <w:sz w:val="36"/>
            </w:rPr>
            <w:t>Procedura</w:t>
          </w:r>
        </w:p>
      </w:tc>
      <w:tc>
        <w:tcPr>
          <w:tcW w:w="1418" w:type="dxa"/>
        </w:tcPr>
        <w:p w14:paraId="668C6A42" w14:textId="77777777" w:rsidR="00583CA4" w:rsidRPr="0056767E" w:rsidRDefault="00583CA4" w:rsidP="00F4387C">
          <w:pPr>
            <w:pStyle w:val="Nagwek"/>
            <w:ind w:firstLine="2"/>
            <w:rPr>
              <w:rFonts w:ascii="Tahoma" w:hAnsi="Tahoma"/>
              <w:sz w:val="20"/>
            </w:rPr>
          </w:pPr>
          <w:r w:rsidRPr="0056767E">
            <w:rPr>
              <w:rFonts w:ascii="Tahoma" w:hAnsi="Tahoma"/>
              <w:sz w:val="16"/>
            </w:rPr>
            <w:t>Data:</w:t>
          </w:r>
          <w:r w:rsidRPr="0056767E">
            <w:rPr>
              <w:rFonts w:ascii="Tahoma" w:hAnsi="Tahoma"/>
              <w:sz w:val="20"/>
            </w:rPr>
            <w:t xml:space="preserve"> </w:t>
          </w:r>
        </w:p>
        <w:p w14:paraId="33D55E8A" w14:textId="77777777" w:rsidR="00583CA4" w:rsidRPr="0056767E" w:rsidRDefault="00583CA4" w:rsidP="00664463">
          <w:pPr>
            <w:pStyle w:val="Nagwek"/>
            <w:ind w:firstLine="2"/>
            <w:jc w:val="center"/>
            <w:rPr>
              <w:rFonts w:ascii="Tahoma" w:hAnsi="Tahoma"/>
              <w:sz w:val="20"/>
              <w:szCs w:val="20"/>
            </w:rPr>
          </w:pPr>
          <w:r w:rsidRPr="0056767E">
            <w:rPr>
              <w:rFonts w:ascii="Tahoma" w:hAnsi="Tahoma"/>
              <w:sz w:val="20"/>
              <w:szCs w:val="20"/>
            </w:rPr>
            <w:t>201</w:t>
          </w:r>
          <w:r w:rsidR="00664463">
            <w:rPr>
              <w:rFonts w:ascii="Tahoma" w:hAnsi="Tahoma"/>
              <w:sz w:val="20"/>
              <w:szCs w:val="20"/>
            </w:rPr>
            <w:t>6</w:t>
          </w:r>
          <w:r w:rsidRPr="0056767E">
            <w:rPr>
              <w:rFonts w:ascii="Tahoma" w:hAnsi="Tahoma"/>
              <w:sz w:val="20"/>
              <w:szCs w:val="20"/>
            </w:rPr>
            <w:t>-</w:t>
          </w:r>
          <w:r w:rsidR="00664463">
            <w:rPr>
              <w:rFonts w:ascii="Tahoma" w:hAnsi="Tahoma"/>
              <w:sz w:val="20"/>
              <w:szCs w:val="20"/>
            </w:rPr>
            <w:t>09</w:t>
          </w:r>
          <w:r w:rsidRPr="0056767E">
            <w:rPr>
              <w:rFonts w:ascii="Tahoma" w:hAnsi="Tahoma"/>
              <w:sz w:val="20"/>
              <w:szCs w:val="20"/>
            </w:rPr>
            <w:t>-30</w:t>
          </w:r>
        </w:p>
      </w:tc>
      <w:tc>
        <w:tcPr>
          <w:tcW w:w="1525" w:type="dxa"/>
        </w:tcPr>
        <w:p w14:paraId="1B989194" w14:textId="77777777" w:rsidR="00583CA4" w:rsidRPr="0056767E" w:rsidRDefault="00583CA4" w:rsidP="00F4387C">
          <w:pPr>
            <w:pStyle w:val="Nagwek"/>
            <w:ind w:firstLine="2"/>
            <w:rPr>
              <w:rFonts w:ascii="Tahoma" w:hAnsi="Tahoma"/>
              <w:sz w:val="16"/>
              <w:szCs w:val="16"/>
            </w:rPr>
          </w:pPr>
          <w:r w:rsidRPr="0056767E">
            <w:rPr>
              <w:rFonts w:ascii="Tahoma" w:hAnsi="Tahoma"/>
              <w:sz w:val="16"/>
              <w:szCs w:val="16"/>
            </w:rPr>
            <w:t>Symbol:</w:t>
          </w:r>
        </w:p>
        <w:p w14:paraId="47158C25" w14:textId="77777777" w:rsidR="00583CA4" w:rsidRPr="0056767E" w:rsidRDefault="00583CA4" w:rsidP="00F4387C">
          <w:pPr>
            <w:pStyle w:val="Nagwek"/>
            <w:ind w:firstLine="2"/>
            <w:jc w:val="center"/>
            <w:rPr>
              <w:rFonts w:ascii="Tahoma" w:hAnsi="Tahoma"/>
              <w:b/>
              <w:sz w:val="20"/>
            </w:rPr>
          </w:pPr>
          <w:r w:rsidRPr="0056767E">
            <w:rPr>
              <w:rFonts w:ascii="Tahoma" w:hAnsi="Tahoma"/>
              <w:b/>
              <w:sz w:val="20"/>
            </w:rPr>
            <w:t>P-RAu-3</w:t>
          </w:r>
        </w:p>
      </w:tc>
    </w:tr>
    <w:tr w:rsidR="00583CA4" w14:paraId="2CE310A6" w14:textId="77777777" w:rsidTr="00473151">
      <w:trPr>
        <w:cantSplit/>
        <w:trHeight w:val="515"/>
      </w:trPr>
      <w:tc>
        <w:tcPr>
          <w:tcW w:w="1488" w:type="dxa"/>
          <w:vMerge/>
        </w:tcPr>
        <w:p w14:paraId="56536C9D" w14:textId="77777777" w:rsidR="00583CA4" w:rsidRPr="0056767E" w:rsidRDefault="00583CA4" w:rsidP="00473151">
          <w:pPr>
            <w:pStyle w:val="Nagwek"/>
            <w:rPr>
              <w:rFonts w:ascii="Tahoma" w:hAnsi="Tahoma"/>
            </w:rPr>
          </w:pPr>
        </w:p>
      </w:tc>
      <w:tc>
        <w:tcPr>
          <w:tcW w:w="4819" w:type="dxa"/>
          <w:vMerge/>
          <w:vAlign w:val="center"/>
        </w:tcPr>
        <w:p w14:paraId="597AAD22" w14:textId="77777777" w:rsidR="00583CA4" w:rsidRPr="0056767E" w:rsidRDefault="00583CA4" w:rsidP="00473151">
          <w:pPr>
            <w:pStyle w:val="Nagwek"/>
            <w:jc w:val="center"/>
            <w:rPr>
              <w:rFonts w:ascii="Tahoma" w:hAnsi="Tahoma"/>
              <w:sz w:val="20"/>
            </w:rPr>
          </w:pPr>
        </w:p>
      </w:tc>
      <w:tc>
        <w:tcPr>
          <w:tcW w:w="1418" w:type="dxa"/>
        </w:tcPr>
        <w:p w14:paraId="5250D2FB" w14:textId="77777777" w:rsidR="00583CA4" w:rsidRPr="0056767E" w:rsidRDefault="00583CA4" w:rsidP="00664463">
          <w:pPr>
            <w:pStyle w:val="Nagwek"/>
            <w:ind w:firstLine="2"/>
            <w:rPr>
              <w:rFonts w:ascii="Tahoma" w:hAnsi="Tahoma"/>
              <w:sz w:val="20"/>
              <w:szCs w:val="20"/>
            </w:rPr>
          </w:pPr>
          <w:r w:rsidRPr="0056767E">
            <w:rPr>
              <w:rFonts w:ascii="Tahoma" w:hAnsi="Tahoma"/>
              <w:sz w:val="20"/>
              <w:szCs w:val="20"/>
            </w:rPr>
            <w:t>Wydanie N</w:t>
          </w:r>
          <w:r w:rsidR="00664463">
            <w:rPr>
              <w:rFonts w:ascii="Tahoma" w:hAnsi="Tahoma"/>
              <w:sz w:val="20"/>
              <w:szCs w:val="20"/>
            </w:rPr>
            <w:t>3</w:t>
          </w:r>
        </w:p>
      </w:tc>
      <w:tc>
        <w:tcPr>
          <w:tcW w:w="1525" w:type="dxa"/>
        </w:tcPr>
        <w:p w14:paraId="01BADB07" w14:textId="77777777" w:rsidR="00583CA4" w:rsidRPr="0056767E" w:rsidRDefault="00583CA4" w:rsidP="00F4387C">
          <w:pPr>
            <w:pStyle w:val="Nagwek"/>
            <w:ind w:firstLine="2"/>
            <w:rPr>
              <w:rFonts w:ascii="Tahoma" w:hAnsi="Tahoma"/>
              <w:sz w:val="16"/>
            </w:rPr>
          </w:pPr>
          <w:r w:rsidRPr="0056767E">
            <w:rPr>
              <w:rFonts w:ascii="Tahoma" w:hAnsi="Tahoma"/>
              <w:sz w:val="16"/>
            </w:rPr>
            <w:t>Strona/stron:</w:t>
          </w:r>
        </w:p>
        <w:p w14:paraId="787147F9" w14:textId="77777777" w:rsidR="00583CA4" w:rsidRPr="0056767E" w:rsidRDefault="00583CA4" w:rsidP="001F57A8">
          <w:pPr>
            <w:pStyle w:val="Nagwek"/>
            <w:ind w:firstLine="2"/>
            <w:jc w:val="center"/>
            <w:rPr>
              <w:rFonts w:ascii="Tahoma" w:hAnsi="Tahoma"/>
              <w:sz w:val="20"/>
            </w:rPr>
          </w:pPr>
          <w:r w:rsidRPr="0056767E">
            <w:rPr>
              <w:rStyle w:val="Numerstrony"/>
              <w:rFonts w:ascii="Tahoma" w:hAnsi="Tahoma"/>
              <w:sz w:val="20"/>
            </w:rPr>
            <w:fldChar w:fldCharType="begin"/>
          </w:r>
          <w:r w:rsidRPr="0056767E">
            <w:rPr>
              <w:rStyle w:val="Numerstrony"/>
              <w:rFonts w:ascii="Tahoma" w:hAnsi="Tahoma"/>
              <w:sz w:val="20"/>
            </w:rPr>
            <w:instrText xml:space="preserve"> PAGE </w:instrText>
          </w:r>
          <w:r w:rsidRPr="0056767E">
            <w:rPr>
              <w:rStyle w:val="Numerstrony"/>
              <w:rFonts w:ascii="Tahoma" w:hAnsi="Tahoma"/>
              <w:sz w:val="20"/>
            </w:rPr>
            <w:fldChar w:fldCharType="separate"/>
          </w:r>
          <w:r w:rsidR="00691A8E">
            <w:rPr>
              <w:rStyle w:val="Numerstrony"/>
              <w:rFonts w:ascii="Tahoma" w:hAnsi="Tahoma"/>
              <w:noProof/>
              <w:sz w:val="20"/>
            </w:rPr>
            <w:t>1</w:t>
          </w:r>
          <w:r w:rsidRPr="0056767E">
            <w:rPr>
              <w:rStyle w:val="Numerstrony"/>
              <w:rFonts w:ascii="Tahoma" w:hAnsi="Tahoma"/>
              <w:sz w:val="20"/>
            </w:rPr>
            <w:fldChar w:fldCharType="end"/>
          </w:r>
          <w:r w:rsidR="001F57A8">
            <w:rPr>
              <w:rStyle w:val="Numerstrony"/>
              <w:rFonts w:ascii="Tahoma" w:hAnsi="Tahoma"/>
              <w:sz w:val="20"/>
            </w:rPr>
            <w:t xml:space="preserve"> z </w:t>
          </w:r>
          <w:r w:rsidRPr="0056767E">
            <w:rPr>
              <w:rStyle w:val="Numerstrony"/>
              <w:rFonts w:ascii="Tahoma" w:hAnsi="Tahoma"/>
              <w:sz w:val="20"/>
            </w:rPr>
            <w:t>3</w:t>
          </w:r>
        </w:p>
      </w:tc>
    </w:tr>
    <w:tr w:rsidR="00583CA4" w14:paraId="60AE93CE" w14:textId="77777777" w:rsidTr="00473151">
      <w:trPr>
        <w:cantSplit/>
        <w:trHeight w:val="397"/>
      </w:trPr>
      <w:tc>
        <w:tcPr>
          <w:tcW w:w="9250" w:type="dxa"/>
          <w:gridSpan w:val="4"/>
          <w:vAlign w:val="center"/>
        </w:tcPr>
        <w:p w14:paraId="1E027E28" w14:textId="77777777" w:rsidR="00583CA4" w:rsidRPr="003767B7" w:rsidRDefault="00583CA4" w:rsidP="00473151">
          <w:pPr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</w:rPr>
            <w:t>ROZPATRYWANIE PODAŃ DO DZIEKANA</w:t>
          </w:r>
        </w:p>
      </w:tc>
    </w:tr>
  </w:tbl>
  <w:p w14:paraId="2469266C" w14:textId="77777777" w:rsidR="00583CA4" w:rsidRDefault="00583CA4" w:rsidP="00F4387C">
    <w:pPr>
      <w:pStyle w:val="Nagwek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4D111D"/>
    <w:multiLevelType w:val="hybridMultilevel"/>
    <w:tmpl w:val="ED569E7E"/>
    <w:lvl w:ilvl="0" w:tplc="7D1E5B4C">
      <w:start w:val="1"/>
      <w:numFmt w:val="decimal"/>
      <w:lvlText w:val="%1."/>
      <w:lvlJc w:val="left"/>
      <w:pPr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94F0FC1"/>
    <w:multiLevelType w:val="hybridMultilevel"/>
    <w:tmpl w:val="FCF258E4"/>
    <w:lvl w:ilvl="0" w:tplc="94D88AF8">
      <w:start w:val="1"/>
      <w:numFmt w:val="bullet"/>
      <w:pStyle w:val="KJK-punktowani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C648F"/>
    <w:multiLevelType w:val="hybridMultilevel"/>
    <w:tmpl w:val="19A2DA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83693"/>
    <w:rsid w:val="00001989"/>
    <w:rsid w:val="00004336"/>
    <w:rsid w:val="00004566"/>
    <w:rsid w:val="00016B90"/>
    <w:rsid w:val="000406A4"/>
    <w:rsid w:val="00044F34"/>
    <w:rsid w:val="00050E14"/>
    <w:rsid w:val="00071CF7"/>
    <w:rsid w:val="000758A9"/>
    <w:rsid w:val="00094FF7"/>
    <w:rsid w:val="000B1BD0"/>
    <w:rsid w:val="000B4D2C"/>
    <w:rsid w:val="000C7F19"/>
    <w:rsid w:val="000D63EA"/>
    <w:rsid w:val="000E5D48"/>
    <w:rsid w:val="00102EF8"/>
    <w:rsid w:val="00137B01"/>
    <w:rsid w:val="00144587"/>
    <w:rsid w:val="001807F3"/>
    <w:rsid w:val="001A09A7"/>
    <w:rsid w:val="001C1D85"/>
    <w:rsid w:val="001C4465"/>
    <w:rsid w:val="001E4BAB"/>
    <w:rsid w:val="001E7B8D"/>
    <w:rsid w:val="001F57A8"/>
    <w:rsid w:val="00221CAF"/>
    <w:rsid w:val="00226D72"/>
    <w:rsid w:val="00235FCF"/>
    <w:rsid w:val="002543BA"/>
    <w:rsid w:val="00254F2E"/>
    <w:rsid w:val="002768E2"/>
    <w:rsid w:val="0029373D"/>
    <w:rsid w:val="00297D08"/>
    <w:rsid w:val="002A4DDB"/>
    <w:rsid w:val="002B65DB"/>
    <w:rsid w:val="002C49DA"/>
    <w:rsid w:val="002C5D71"/>
    <w:rsid w:val="002C670A"/>
    <w:rsid w:val="0030040C"/>
    <w:rsid w:val="0031644A"/>
    <w:rsid w:val="003352F4"/>
    <w:rsid w:val="0035711F"/>
    <w:rsid w:val="00360268"/>
    <w:rsid w:val="003649F1"/>
    <w:rsid w:val="003767B7"/>
    <w:rsid w:val="00391FA4"/>
    <w:rsid w:val="003B51FE"/>
    <w:rsid w:val="003B5942"/>
    <w:rsid w:val="003B5AC2"/>
    <w:rsid w:val="003C2F22"/>
    <w:rsid w:val="003F0F01"/>
    <w:rsid w:val="00410BD7"/>
    <w:rsid w:val="00410EB9"/>
    <w:rsid w:val="00425238"/>
    <w:rsid w:val="00427A47"/>
    <w:rsid w:val="0043380E"/>
    <w:rsid w:val="00454BE1"/>
    <w:rsid w:val="00457728"/>
    <w:rsid w:val="00473151"/>
    <w:rsid w:val="004A224C"/>
    <w:rsid w:val="004A679C"/>
    <w:rsid w:val="004C3680"/>
    <w:rsid w:val="004C57A6"/>
    <w:rsid w:val="004E0A62"/>
    <w:rsid w:val="0050750C"/>
    <w:rsid w:val="00512A1C"/>
    <w:rsid w:val="0051766B"/>
    <w:rsid w:val="005263BB"/>
    <w:rsid w:val="005557A2"/>
    <w:rsid w:val="005574DC"/>
    <w:rsid w:val="005609DE"/>
    <w:rsid w:val="0056767E"/>
    <w:rsid w:val="00583CA4"/>
    <w:rsid w:val="0058521B"/>
    <w:rsid w:val="005B13D9"/>
    <w:rsid w:val="005B2ABF"/>
    <w:rsid w:val="005B644A"/>
    <w:rsid w:val="005C087A"/>
    <w:rsid w:val="005C58C2"/>
    <w:rsid w:val="005C59FE"/>
    <w:rsid w:val="005F7BF0"/>
    <w:rsid w:val="00607A1A"/>
    <w:rsid w:val="00613E96"/>
    <w:rsid w:val="006145F4"/>
    <w:rsid w:val="00627DF6"/>
    <w:rsid w:val="006410CF"/>
    <w:rsid w:val="0065394A"/>
    <w:rsid w:val="00664463"/>
    <w:rsid w:val="00683693"/>
    <w:rsid w:val="00691A8E"/>
    <w:rsid w:val="006C7494"/>
    <w:rsid w:val="006D58FC"/>
    <w:rsid w:val="006F2DA7"/>
    <w:rsid w:val="006F3110"/>
    <w:rsid w:val="00717143"/>
    <w:rsid w:val="007273B9"/>
    <w:rsid w:val="007614E2"/>
    <w:rsid w:val="00765A9B"/>
    <w:rsid w:val="00767488"/>
    <w:rsid w:val="00771DB4"/>
    <w:rsid w:val="00781050"/>
    <w:rsid w:val="00790A91"/>
    <w:rsid w:val="007A2D4E"/>
    <w:rsid w:val="007D0C3D"/>
    <w:rsid w:val="007E7F4A"/>
    <w:rsid w:val="00827DB2"/>
    <w:rsid w:val="0083637E"/>
    <w:rsid w:val="008452B4"/>
    <w:rsid w:val="008624E1"/>
    <w:rsid w:val="00874E49"/>
    <w:rsid w:val="008B0347"/>
    <w:rsid w:val="008C1AAA"/>
    <w:rsid w:val="008D0FCB"/>
    <w:rsid w:val="008E29A3"/>
    <w:rsid w:val="008F3991"/>
    <w:rsid w:val="008F51AE"/>
    <w:rsid w:val="0090341D"/>
    <w:rsid w:val="00925C3F"/>
    <w:rsid w:val="0093096B"/>
    <w:rsid w:val="0093646D"/>
    <w:rsid w:val="00941854"/>
    <w:rsid w:val="009515B4"/>
    <w:rsid w:val="00952DE8"/>
    <w:rsid w:val="00975106"/>
    <w:rsid w:val="009D6285"/>
    <w:rsid w:val="009E1325"/>
    <w:rsid w:val="009F7249"/>
    <w:rsid w:val="00A07A70"/>
    <w:rsid w:val="00A23C74"/>
    <w:rsid w:val="00A4730F"/>
    <w:rsid w:val="00A83A4D"/>
    <w:rsid w:val="00A84355"/>
    <w:rsid w:val="00AB03DB"/>
    <w:rsid w:val="00AB164E"/>
    <w:rsid w:val="00AC4938"/>
    <w:rsid w:val="00AD308F"/>
    <w:rsid w:val="00B043DF"/>
    <w:rsid w:val="00B06AAA"/>
    <w:rsid w:val="00B31A2B"/>
    <w:rsid w:val="00B330D5"/>
    <w:rsid w:val="00B42600"/>
    <w:rsid w:val="00B559A8"/>
    <w:rsid w:val="00B73633"/>
    <w:rsid w:val="00B73A50"/>
    <w:rsid w:val="00B73EA9"/>
    <w:rsid w:val="00B817AB"/>
    <w:rsid w:val="00BA4E0B"/>
    <w:rsid w:val="00BB65C5"/>
    <w:rsid w:val="00BC3156"/>
    <w:rsid w:val="00BD1AA4"/>
    <w:rsid w:val="00BD566E"/>
    <w:rsid w:val="00BF1BF8"/>
    <w:rsid w:val="00C16FB9"/>
    <w:rsid w:val="00C331C0"/>
    <w:rsid w:val="00C364F3"/>
    <w:rsid w:val="00C44317"/>
    <w:rsid w:val="00C71AB4"/>
    <w:rsid w:val="00C863B7"/>
    <w:rsid w:val="00CA5256"/>
    <w:rsid w:val="00CA584C"/>
    <w:rsid w:val="00CB6769"/>
    <w:rsid w:val="00CC1FF4"/>
    <w:rsid w:val="00CC5C72"/>
    <w:rsid w:val="00CD3792"/>
    <w:rsid w:val="00CE2082"/>
    <w:rsid w:val="00D23231"/>
    <w:rsid w:val="00D41757"/>
    <w:rsid w:val="00D450D1"/>
    <w:rsid w:val="00D77446"/>
    <w:rsid w:val="00D87D1C"/>
    <w:rsid w:val="00DA7CB1"/>
    <w:rsid w:val="00DB01C5"/>
    <w:rsid w:val="00DC363E"/>
    <w:rsid w:val="00DD767A"/>
    <w:rsid w:val="00DF5DD3"/>
    <w:rsid w:val="00E21EA4"/>
    <w:rsid w:val="00E55F48"/>
    <w:rsid w:val="00E63321"/>
    <w:rsid w:val="00E814B0"/>
    <w:rsid w:val="00E947AA"/>
    <w:rsid w:val="00EA0DC9"/>
    <w:rsid w:val="00EC6B9B"/>
    <w:rsid w:val="00ED0905"/>
    <w:rsid w:val="00ED131E"/>
    <w:rsid w:val="00EE681E"/>
    <w:rsid w:val="00F0131A"/>
    <w:rsid w:val="00F15A36"/>
    <w:rsid w:val="00F27C2D"/>
    <w:rsid w:val="00F32BD5"/>
    <w:rsid w:val="00F37466"/>
    <w:rsid w:val="00F42BC1"/>
    <w:rsid w:val="00F4387C"/>
    <w:rsid w:val="00F72F24"/>
    <w:rsid w:val="00F94D39"/>
    <w:rsid w:val="00FB4AA4"/>
    <w:rsid w:val="00FC0B8F"/>
    <w:rsid w:val="00FE2B59"/>
    <w:rsid w:val="00FE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1CC143A3"/>
  <w15:docId w15:val="{1A235113-F04A-4ADF-A807-AB5F93B3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KJK - pierwszy akapit"/>
    <w:qFormat/>
    <w:rsid w:val="00771DB4"/>
    <w:pPr>
      <w:spacing w:after="60"/>
      <w:ind w:firstLine="425"/>
      <w:jc w:val="both"/>
    </w:pPr>
    <w:rPr>
      <w:sz w:val="24"/>
      <w:szCs w:val="22"/>
      <w:lang w:eastAsia="en-US"/>
    </w:rPr>
  </w:style>
  <w:style w:type="paragraph" w:styleId="Nagwek1">
    <w:name w:val="heading 1"/>
    <w:aliases w:val="KJK - rozdzial"/>
    <w:basedOn w:val="Normalny"/>
    <w:next w:val="Normalny"/>
    <w:link w:val="Nagwek1Znak"/>
    <w:uiPriority w:val="99"/>
    <w:qFormat/>
    <w:rsid w:val="00425238"/>
    <w:pPr>
      <w:keepNext/>
      <w:spacing w:before="240" w:after="240"/>
      <w:ind w:left="567" w:hanging="567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aliases w:val="KJK - podrozdzial"/>
    <w:basedOn w:val="Normalny"/>
    <w:next w:val="Normalny"/>
    <w:link w:val="Nagwek2Znak"/>
    <w:uiPriority w:val="99"/>
    <w:qFormat/>
    <w:rsid w:val="00425238"/>
    <w:pPr>
      <w:keepNext/>
      <w:spacing w:before="120" w:after="120"/>
      <w:ind w:left="425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23C74"/>
    <w:pPr>
      <w:keepNext/>
      <w:spacing w:before="24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KJK - rozdzial Znak"/>
    <w:link w:val="Nagwek1"/>
    <w:uiPriority w:val="99"/>
    <w:locked/>
    <w:rsid w:val="00425238"/>
    <w:rPr>
      <w:rFonts w:ascii="Cambria" w:hAnsi="Cambria"/>
      <w:b/>
      <w:kern w:val="32"/>
      <w:sz w:val="32"/>
      <w:lang w:eastAsia="en-US"/>
    </w:rPr>
  </w:style>
  <w:style w:type="character" w:customStyle="1" w:styleId="Nagwek2Znak">
    <w:name w:val="Nagłówek 2 Znak"/>
    <w:aliases w:val="KJK - podrozdzial Znak"/>
    <w:link w:val="Nagwek2"/>
    <w:uiPriority w:val="99"/>
    <w:locked/>
    <w:rsid w:val="00425238"/>
    <w:rPr>
      <w:rFonts w:ascii="Cambria" w:hAnsi="Cambria"/>
      <w:b/>
      <w:i/>
      <w:sz w:val="28"/>
      <w:lang w:eastAsia="en-US"/>
    </w:rPr>
  </w:style>
  <w:style w:type="character" w:customStyle="1" w:styleId="Nagwek3Znak">
    <w:name w:val="Nagłówek 3 Znak"/>
    <w:link w:val="Nagwek3"/>
    <w:uiPriority w:val="99"/>
    <w:locked/>
    <w:rsid w:val="00A23C74"/>
    <w:rPr>
      <w:rFonts w:ascii="Cambria" w:hAnsi="Cambria"/>
      <w:b/>
      <w:sz w:val="26"/>
      <w:lang w:eastAsia="en-US"/>
    </w:rPr>
  </w:style>
  <w:style w:type="paragraph" w:styleId="Bezodstpw">
    <w:name w:val="No Spacing"/>
    <w:uiPriority w:val="99"/>
    <w:qFormat/>
    <w:rsid w:val="00A23C74"/>
    <w:pPr>
      <w:jc w:val="both"/>
    </w:pPr>
    <w:rPr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uiPriority w:val="99"/>
    <w:qFormat/>
    <w:rsid w:val="00A23C74"/>
    <w:pPr>
      <w:spacing w:before="24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A23C74"/>
    <w:rPr>
      <w:rFonts w:ascii="Cambria" w:hAnsi="Cambria"/>
      <w:b/>
      <w:kern w:val="28"/>
      <w:sz w:val="32"/>
      <w:lang w:eastAsia="en-US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23C74"/>
    <w:pPr>
      <w:jc w:val="center"/>
      <w:outlineLvl w:val="1"/>
    </w:pPr>
    <w:rPr>
      <w:rFonts w:ascii="Cambria" w:eastAsia="Times New Roman" w:hAnsi="Cambria"/>
      <w:szCs w:val="24"/>
    </w:rPr>
  </w:style>
  <w:style w:type="character" w:customStyle="1" w:styleId="PodtytuZnak">
    <w:name w:val="Podtytuł Znak"/>
    <w:link w:val="Podtytu"/>
    <w:uiPriority w:val="99"/>
    <w:locked/>
    <w:rsid w:val="00A23C74"/>
    <w:rPr>
      <w:rFonts w:ascii="Cambria" w:hAnsi="Cambria"/>
      <w:sz w:val="24"/>
      <w:lang w:eastAsia="en-US"/>
    </w:rPr>
  </w:style>
  <w:style w:type="character" w:styleId="Wyrnieniedelikatne">
    <w:name w:val="Subtle Emphasis"/>
    <w:aliases w:val="KJK - ustawa"/>
    <w:uiPriority w:val="99"/>
    <w:qFormat/>
    <w:rsid w:val="00137B01"/>
    <w:rPr>
      <w:i/>
    </w:rPr>
  </w:style>
  <w:style w:type="character" w:styleId="Uwydatnienie">
    <w:name w:val="Emphasis"/>
    <w:uiPriority w:val="99"/>
    <w:qFormat/>
    <w:rsid w:val="00A23C74"/>
    <w:rPr>
      <w:rFonts w:cs="Times New Roman"/>
      <w:i/>
    </w:rPr>
  </w:style>
  <w:style w:type="character" w:styleId="Wyrnienieintensywne">
    <w:name w:val="Intense Emphasis"/>
    <w:uiPriority w:val="99"/>
    <w:qFormat/>
    <w:rsid w:val="00A23C74"/>
    <w:rPr>
      <w:b/>
      <w:i/>
      <w:color w:val="4F81BD"/>
    </w:rPr>
  </w:style>
  <w:style w:type="character" w:styleId="Pogrubienie">
    <w:name w:val="Strong"/>
    <w:uiPriority w:val="99"/>
    <w:qFormat/>
    <w:rsid w:val="00A23C74"/>
    <w:rPr>
      <w:rFonts w:cs="Times New Roman"/>
      <w:b/>
    </w:rPr>
  </w:style>
  <w:style w:type="character" w:styleId="Odwoaniedelikatne">
    <w:name w:val="Subtle Reference"/>
    <w:uiPriority w:val="99"/>
    <w:qFormat/>
    <w:rsid w:val="00A23C74"/>
    <w:rPr>
      <w:smallCaps/>
      <w:color w:val="C0504D"/>
      <w:u w:val="single"/>
    </w:rPr>
  </w:style>
  <w:style w:type="paragraph" w:customStyle="1" w:styleId="KJK-punktowanie">
    <w:name w:val="KJK - punktowanie"/>
    <w:basedOn w:val="Normalny"/>
    <w:link w:val="KJK-punktowanieZnak"/>
    <w:uiPriority w:val="99"/>
    <w:rsid w:val="00425238"/>
    <w:pPr>
      <w:numPr>
        <w:numId w:val="1"/>
      </w:numPr>
      <w:spacing w:before="120" w:after="120"/>
      <w:ind w:left="850" w:hanging="425"/>
      <w:contextualSpacing/>
    </w:pPr>
  </w:style>
  <w:style w:type="paragraph" w:customStyle="1" w:styleId="KJK-akapitnormalny">
    <w:name w:val="KJK - akapit normalny"/>
    <w:basedOn w:val="Normalny"/>
    <w:link w:val="KJK-akapitnormalnyZnak"/>
    <w:uiPriority w:val="99"/>
    <w:rsid w:val="00425238"/>
  </w:style>
  <w:style w:type="character" w:customStyle="1" w:styleId="KJK-punktowanieZnak">
    <w:name w:val="KJK - punktowanie Znak"/>
    <w:link w:val="KJK-punktowanie"/>
    <w:uiPriority w:val="99"/>
    <w:locked/>
    <w:rsid w:val="00425238"/>
    <w:rPr>
      <w:sz w:val="22"/>
      <w:lang w:eastAsia="en-US"/>
    </w:rPr>
  </w:style>
  <w:style w:type="paragraph" w:styleId="Nagwek">
    <w:name w:val="header"/>
    <w:aliases w:val="Znak Znak"/>
    <w:basedOn w:val="Normalny"/>
    <w:link w:val="NagwekZnak"/>
    <w:uiPriority w:val="99"/>
    <w:rsid w:val="00683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link w:val="Nagwek"/>
    <w:uiPriority w:val="99"/>
    <w:locked/>
    <w:rsid w:val="00683693"/>
    <w:rPr>
      <w:sz w:val="22"/>
      <w:lang w:eastAsia="en-US"/>
    </w:rPr>
  </w:style>
  <w:style w:type="character" w:customStyle="1" w:styleId="KJK-akapitnormalnyZnak">
    <w:name w:val="KJK - akapit normalny Znak"/>
    <w:link w:val="KJK-akapitnormalny"/>
    <w:uiPriority w:val="99"/>
    <w:locked/>
    <w:rsid w:val="00425238"/>
    <w:rPr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6836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83693"/>
    <w:rPr>
      <w:sz w:val="22"/>
      <w:lang w:eastAsia="en-US"/>
    </w:rPr>
  </w:style>
  <w:style w:type="character" w:styleId="Numerstrony">
    <w:name w:val="page number"/>
    <w:uiPriority w:val="99"/>
    <w:rsid w:val="00683693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7744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D77446"/>
    <w:rPr>
      <w:lang w:eastAsia="en-US"/>
    </w:rPr>
  </w:style>
  <w:style w:type="character" w:styleId="Odwoanieprzypisudolnego">
    <w:name w:val="footnote reference"/>
    <w:uiPriority w:val="99"/>
    <w:semiHidden/>
    <w:rsid w:val="00D77446"/>
    <w:rPr>
      <w:rFonts w:cs="Times New Roman"/>
      <w:vertAlign w:val="superscript"/>
    </w:rPr>
  </w:style>
  <w:style w:type="character" w:styleId="Odwoaniedokomentarza">
    <w:name w:val="annotation reference"/>
    <w:uiPriority w:val="99"/>
    <w:semiHidden/>
    <w:rsid w:val="00C71AB4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71AB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71AB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AB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AB4"/>
    <w:rPr>
      <w:b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71AB4"/>
    <w:pPr>
      <w:spacing w:after="0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71AB4"/>
    <w:rPr>
      <w:rFonts w:ascii="Tahoma" w:hAnsi="Tahoma"/>
      <w:sz w:val="16"/>
      <w:lang w:eastAsia="en-US"/>
    </w:rPr>
  </w:style>
  <w:style w:type="paragraph" w:customStyle="1" w:styleId="Procedury-poziom1">
    <w:name w:val="Procedury-poziom1"/>
    <w:basedOn w:val="Nagwek1"/>
    <w:link w:val="Procedury-poziom1Znak"/>
    <w:qFormat/>
    <w:rsid w:val="00CB6769"/>
    <w:pPr>
      <w:tabs>
        <w:tab w:val="left" w:pos="567"/>
      </w:tabs>
    </w:pPr>
    <w:rPr>
      <w:sz w:val="28"/>
    </w:rPr>
  </w:style>
  <w:style w:type="paragraph" w:customStyle="1" w:styleId="Procedury-poziom2">
    <w:name w:val="Procedury - poziom2"/>
    <w:basedOn w:val="KJK-akapitnormalny"/>
    <w:link w:val="Procedury-poziom2Znak"/>
    <w:qFormat/>
    <w:rsid w:val="00410BD7"/>
    <w:pPr>
      <w:spacing w:before="180" w:after="180"/>
      <w:ind w:firstLine="0"/>
    </w:pPr>
    <w:rPr>
      <w:rFonts w:ascii="Cambria" w:hAnsi="Cambria"/>
      <w:b/>
      <w:i/>
    </w:rPr>
  </w:style>
  <w:style w:type="character" w:customStyle="1" w:styleId="Procedury-poziom1Znak">
    <w:name w:val="Procedury-poziom1 Znak"/>
    <w:link w:val="Procedury-poziom1"/>
    <w:rsid w:val="00CB6769"/>
    <w:rPr>
      <w:rFonts w:ascii="Cambria" w:eastAsia="Times New Roman" w:hAnsi="Cambria"/>
      <w:b/>
      <w:bCs/>
      <w:kern w:val="32"/>
      <w:sz w:val="28"/>
      <w:szCs w:val="32"/>
      <w:lang w:eastAsia="en-US"/>
    </w:rPr>
  </w:style>
  <w:style w:type="character" w:customStyle="1" w:styleId="Procedury-poziom2Znak">
    <w:name w:val="Procedury - poziom2 Znak"/>
    <w:link w:val="Procedury-poziom2"/>
    <w:rsid w:val="00410BD7"/>
    <w:rPr>
      <w:rFonts w:ascii="Cambria" w:hAnsi="Cambria"/>
      <w:b/>
      <w:i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88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8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otrek\Dane%20aplikacji\Microsoft\Szablony\KJK%20-%20szabl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E6D0CA580F931468AB6A1CD61E3941D" ma:contentTypeVersion="2" ma:contentTypeDescription="Utwórz nowy dokument." ma:contentTypeScope="" ma:versionID="ef279a4bf46a1e440531713490be0c5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2e74360d00ed8d1831b68c4f7a9a21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0F7DB7-9907-4D47-A4A0-CD5D2AFA72E0}"/>
</file>

<file path=customXml/itemProps2.xml><?xml version="1.0" encoding="utf-8"?>
<ds:datastoreItem xmlns:ds="http://schemas.openxmlformats.org/officeDocument/2006/customXml" ds:itemID="{63D66737-1152-49A2-83D4-36CD88360710}"/>
</file>

<file path=customXml/itemProps3.xml><?xml version="1.0" encoding="utf-8"?>
<ds:datastoreItem xmlns:ds="http://schemas.openxmlformats.org/officeDocument/2006/customXml" ds:itemID="{35E14F04-BEC4-4D0E-B520-17CEA85DD56D}"/>
</file>

<file path=docProps/app.xml><?xml version="1.0" encoding="utf-8"?>
<Properties xmlns="http://schemas.openxmlformats.org/officeDocument/2006/extended-properties" xmlns:vt="http://schemas.openxmlformats.org/officeDocument/2006/docPropsVTypes">
  <Template>KJK - szablon.dot</Template>
  <TotalTime>178</TotalTime>
  <Pages>3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P-RAu-3</vt:lpstr>
    </vt:vector>
  </TitlesOfParts>
  <Company/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P-RAu-3</dc:title>
  <dc:subject/>
  <dc:creator>Moscinska</dc:creator>
  <cp:keywords/>
  <dc:description/>
  <cp:lastModifiedBy>Jerzy Moscinski</cp:lastModifiedBy>
  <cp:revision>19</cp:revision>
  <cp:lastPrinted>2010-05-05T13:11:00Z</cp:lastPrinted>
  <dcterms:created xsi:type="dcterms:W3CDTF">2014-02-12T12:21:00Z</dcterms:created>
  <dcterms:modified xsi:type="dcterms:W3CDTF">2019-05-28T09:22:00Z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0x0101002E6D0CA580F931468AB6A1CD61E3941D</vt:lpwstr>
  </property>
</Properties>
</file>